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1) This Practice Note applies to civil and family proceedings in the Court of Appeal (Civil Division), the High Court of Justice, the County Courts and the Family Proceedings Court in the Magistrates’ Court. It does not apply in criminal cases. </w:t>
      </w:r>
      <w:proofErr w:type="gramStart"/>
      <w:r w:rsidRPr="00A65D9D">
        <w:rPr>
          <w:rFonts w:ascii="Book Antiqua" w:hAnsi="Book Antiqua" w:cs="Times New Roman"/>
          <w:color w:val="000000"/>
          <w:sz w:val="24"/>
          <w:szCs w:val="24"/>
          <w:lang w:val="en-GB"/>
        </w:rPr>
        <w:t>It is issued as guidance (</w:t>
      </w:r>
      <w:r w:rsidRPr="00A65D9D">
        <w:rPr>
          <w:rFonts w:ascii="Book Antiqua" w:hAnsi="Book Antiqua" w:cs="Times New Roman"/>
          <w:b/>
          <w:bCs/>
          <w:color w:val="000000"/>
          <w:sz w:val="24"/>
          <w:szCs w:val="24"/>
          <w:lang w:val="en-GB"/>
        </w:rPr>
        <w:t>not </w:t>
      </w:r>
      <w:r w:rsidRPr="00A65D9D">
        <w:rPr>
          <w:rFonts w:ascii="Book Antiqua" w:hAnsi="Book Antiqua" w:cs="Times New Roman"/>
          <w:color w:val="000000"/>
          <w:sz w:val="24"/>
          <w:szCs w:val="24"/>
          <w:lang w:val="en-GB"/>
        </w:rPr>
        <w:t>as a Practice Direction) by the Lord Chief Justice</w:t>
      </w:r>
      <w:proofErr w:type="gramEnd"/>
      <w:r w:rsidRPr="00A65D9D">
        <w:rPr>
          <w:rFonts w:ascii="Book Antiqua" w:hAnsi="Book Antiqua" w:cs="Times New Roman"/>
          <w:color w:val="000000"/>
          <w:sz w:val="24"/>
          <w:szCs w:val="24"/>
          <w:lang w:val="en-GB"/>
        </w:rPr>
        <w:t xml:space="preserve">. It is intended to remind courts and </w:t>
      </w:r>
      <w:proofErr w:type="gramStart"/>
      <w:r w:rsidRPr="00A65D9D">
        <w:rPr>
          <w:rFonts w:ascii="Book Antiqua" w:hAnsi="Book Antiqua" w:cs="Times New Roman"/>
          <w:color w:val="000000"/>
          <w:sz w:val="24"/>
          <w:szCs w:val="24"/>
          <w:lang w:val="en-GB"/>
        </w:rPr>
        <w:t>litigants of the principles set out in the authorities</w:t>
      </w:r>
      <w:bookmarkStart w:id="0" w:name="_ftnref1"/>
      <w:r w:rsidRPr="00A65D9D">
        <w:rPr>
          <w:rFonts w:ascii="Book Antiqua" w:hAnsi="Book Antiqua" w:cs="Times New Roman"/>
          <w:color w:val="000000"/>
          <w:sz w:val="24"/>
          <w:szCs w:val="24"/>
          <w:lang w:val="en-GB"/>
        </w:rPr>
        <w:fldChar w:fldCharType="begin"/>
      </w:r>
      <w:r w:rsidRPr="00A65D9D">
        <w:rPr>
          <w:rFonts w:ascii="Book Antiqua" w:hAnsi="Book Antiqua" w:cs="Times New Roman"/>
          <w:color w:val="000000"/>
          <w:sz w:val="24"/>
          <w:szCs w:val="24"/>
          <w:lang w:val="en-GB"/>
        </w:rPr>
        <w:instrText xml:space="preserve"> HYPERLINK "http://www.courtsni.gov.uk/en-gb/judicial%20decisions/practice%20directions/documents/practice%20note%2003-12/practice%20note%2003-12.htm" \l "_ftn1" \o "" </w:instrText>
      </w:r>
      <w:r w:rsidRPr="00A65D9D">
        <w:rPr>
          <w:rFonts w:ascii="Book Antiqua" w:hAnsi="Book Antiqua" w:cs="Times New Roman"/>
          <w:color w:val="000000"/>
          <w:sz w:val="24"/>
          <w:szCs w:val="24"/>
          <w:lang w:val="en-GB"/>
        </w:rPr>
      </w:r>
      <w:r w:rsidRPr="00A65D9D">
        <w:rPr>
          <w:rFonts w:ascii="Book Antiqua" w:hAnsi="Book Antiqua" w:cs="Times New Roman"/>
          <w:color w:val="000000"/>
          <w:sz w:val="24"/>
          <w:szCs w:val="24"/>
          <w:lang w:val="en-GB"/>
        </w:rPr>
        <w:fldChar w:fldCharType="separate"/>
      </w:r>
      <w:r w:rsidRPr="00A65D9D">
        <w:rPr>
          <w:rFonts w:ascii="Book Antiqua" w:hAnsi="Book Antiqua" w:cs="Times New Roman"/>
          <w:color w:val="000000"/>
          <w:sz w:val="24"/>
          <w:szCs w:val="24"/>
          <w:u w:val="single"/>
          <w:vertAlign w:val="superscript"/>
          <w:lang w:val="en-GB"/>
        </w:rPr>
        <w:t>[1]</w:t>
      </w:r>
      <w:r w:rsidRPr="00A65D9D">
        <w:rPr>
          <w:rFonts w:ascii="Book Antiqua" w:hAnsi="Book Antiqua" w:cs="Times New Roman"/>
          <w:color w:val="000000"/>
          <w:sz w:val="24"/>
          <w:szCs w:val="24"/>
          <w:lang w:val="en-GB"/>
        </w:rPr>
        <w:fldChar w:fldCharType="end"/>
      </w:r>
      <w:bookmarkEnd w:id="0"/>
      <w:r w:rsidRPr="00A65D9D">
        <w:rPr>
          <w:rFonts w:ascii="Book Antiqua" w:hAnsi="Book Antiqua" w:cs="Times New Roman"/>
          <w:color w:val="000000"/>
          <w:sz w:val="24"/>
          <w:szCs w:val="24"/>
          <w:lang w:val="en-GB"/>
        </w:rPr>
        <w:t> and does</w:t>
      </w:r>
      <w:proofErr w:type="gramEnd"/>
      <w:r w:rsidRPr="00A65D9D">
        <w:rPr>
          <w:rFonts w:ascii="Book Antiqua" w:hAnsi="Book Antiqua" w:cs="Times New Roman"/>
          <w:color w:val="000000"/>
          <w:sz w:val="24"/>
          <w:szCs w:val="24"/>
          <w:lang w:val="en-GB"/>
        </w:rPr>
        <w:t xml:space="preserve"> not change the law. It supersedes any previous guidance. It is issued in light of the increase </w:t>
      </w:r>
      <w:proofErr w:type="gramStart"/>
      <w:r w:rsidRPr="00A65D9D">
        <w:rPr>
          <w:rFonts w:ascii="Book Antiqua" w:hAnsi="Book Antiqua" w:cs="Times New Roman"/>
          <w:color w:val="000000"/>
          <w:sz w:val="24"/>
          <w:szCs w:val="24"/>
          <w:lang w:val="en-GB"/>
        </w:rPr>
        <w:t>in  personal</w:t>
      </w:r>
      <w:proofErr w:type="gramEnd"/>
      <w:r w:rsidRPr="00A65D9D">
        <w:rPr>
          <w:rFonts w:ascii="Book Antiqua" w:hAnsi="Book Antiqua" w:cs="Times New Roman"/>
          <w:color w:val="000000"/>
          <w:sz w:val="24"/>
          <w:szCs w:val="24"/>
          <w:lang w:val="en-GB"/>
        </w:rPr>
        <w:t xml:space="preserve"> litigants in all levels of the civil and family courts.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b/>
          <w:bCs/>
          <w:color w:val="000000"/>
          <w:sz w:val="24"/>
          <w:szCs w:val="24"/>
          <w:lang w:val="en-GB"/>
        </w:rPr>
        <w:t>Part I – Reasonable assistance from a McKenzie Friend</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2) There is a presumption in favour of permitting a personal litigant to have reasonable assistance from a layperson, sometimes called a McKenzie Friend</w:t>
      </w:r>
      <w:proofErr w:type="gramStart"/>
      <w:r w:rsidRPr="00A65D9D">
        <w:rPr>
          <w:rFonts w:ascii="Book Antiqua" w:hAnsi="Book Antiqua" w:cs="Times New Roman"/>
          <w:color w:val="000000"/>
          <w:sz w:val="24"/>
          <w:szCs w:val="24"/>
          <w:lang w:val="en-GB"/>
        </w:rPr>
        <w:t>,.</w:t>
      </w:r>
      <w:proofErr w:type="gramEnd"/>
      <w:r w:rsidRPr="00A65D9D">
        <w:rPr>
          <w:rFonts w:ascii="Book Antiqua" w:hAnsi="Book Antiqua" w:cs="Times New Roman"/>
          <w:color w:val="000000"/>
          <w:sz w:val="24"/>
          <w:szCs w:val="24"/>
          <w:lang w:val="en-GB"/>
        </w:rPr>
        <w:t xml:space="preserve"> Personal litigants assisted by McKenzie Friends remain litigants-in-person. McKenzie Friends have no independent right to provide assistance. They have no right to act as advocates or to carry out the conduct of litigation. In </w:t>
      </w:r>
      <w:proofErr w:type="spellStart"/>
      <w:r w:rsidRPr="00A65D9D">
        <w:rPr>
          <w:rFonts w:ascii="Book Antiqua" w:hAnsi="Book Antiqua" w:cs="Times New Roman"/>
          <w:color w:val="000000"/>
          <w:sz w:val="24"/>
          <w:szCs w:val="24"/>
          <w:u w:val="single"/>
          <w:lang w:val="en-GB"/>
        </w:rPr>
        <w:t>McA</w:t>
      </w:r>
      <w:proofErr w:type="spellEnd"/>
      <w:r w:rsidRPr="00A65D9D">
        <w:rPr>
          <w:rFonts w:ascii="Book Antiqua" w:hAnsi="Book Antiqua" w:cs="Times New Roman"/>
          <w:color w:val="000000"/>
          <w:sz w:val="24"/>
          <w:szCs w:val="24"/>
          <w:u w:val="single"/>
          <w:lang w:val="en-GB"/>
        </w:rPr>
        <w:t xml:space="preserve"> v </w:t>
      </w:r>
      <w:proofErr w:type="spellStart"/>
      <w:r w:rsidRPr="00A65D9D">
        <w:rPr>
          <w:rFonts w:ascii="Book Antiqua" w:hAnsi="Book Antiqua" w:cs="Times New Roman"/>
          <w:color w:val="000000"/>
          <w:sz w:val="24"/>
          <w:szCs w:val="24"/>
          <w:u w:val="single"/>
          <w:lang w:val="en-GB"/>
        </w:rPr>
        <w:t>McA</w:t>
      </w:r>
      <w:proofErr w:type="spellEnd"/>
      <w:r w:rsidRPr="00A65D9D">
        <w:rPr>
          <w:rFonts w:ascii="Book Antiqua" w:hAnsi="Book Antiqua" w:cs="Times New Roman"/>
          <w:color w:val="000000"/>
          <w:sz w:val="24"/>
          <w:szCs w:val="24"/>
          <w:lang w:val="en-GB"/>
        </w:rPr>
        <w:t> [2006] 10 BNIL 63</w:t>
      </w:r>
      <w:bookmarkStart w:id="1" w:name="_ftnref2"/>
      <w:r w:rsidRPr="00A65D9D">
        <w:rPr>
          <w:rFonts w:ascii="Book Antiqua" w:hAnsi="Book Antiqua" w:cs="Times New Roman"/>
          <w:color w:val="000000"/>
          <w:sz w:val="24"/>
          <w:szCs w:val="24"/>
          <w:lang w:val="en-GB"/>
        </w:rPr>
        <w:fldChar w:fldCharType="begin"/>
      </w:r>
      <w:r w:rsidRPr="00A65D9D">
        <w:rPr>
          <w:rFonts w:ascii="Book Antiqua" w:hAnsi="Book Antiqua" w:cs="Times New Roman"/>
          <w:color w:val="000000"/>
          <w:sz w:val="24"/>
          <w:szCs w:val="24"/>
          <w:lang w:val="en-GB"/>
        </w:rPr>
        <w:instrText xml:space="preserve"> HYPERLINK "http://www.courtsni.gov.uk/en-gb/judicial%20decisions/practice%20directions/documents/practice%20note%2003-12/practice%20note%2003-12.htm" \l "_ftn2" \o "" </w:instrText>
      </w:r>
      <w:r w:rsidRPr="00A65D9D">
        <w:rPr>
          <w:rFonts w:ascii="Book Antiqua" w:hAnsi="Book Antiqua" w:cs="Times New Roman"/>
          <w:color w:val="000000"/>
          <w:sz w:val="24"/>
          <w:szCs w:val="24"/>
          <w:lang w:val="en-GB"/>
        </w:rPr>
      </w:r>
      <w:r w:rsidRPr="00A65D9D">
        <w:rPr>
          <w:rFonts w:ascii="Book Antiqua" w:hAnsi="Book Antiqua" w:cs="Times New Roman"/>
          <w:color w:val="000000"/>
          <w:sz w:val="24"/>
          <w:szCs w:val="24"/>
          <w:lang w:val="en-GB"/>
        </w:rPr>
        <w:fldChar w:fldCharType="separate"/>
      </w:r>
      <w:r w:rsidRPr="00A65D9D">
        <w:rPr>
          <w:rFonts w:ascii="Book Antiqua" w:hAnsi="Book Antiqua" w:cs="Times New Roman"/>
          <w:color w:val="000000"/>
          <w:sz w:val="24"/>
          <w:szCs w:val="24"/>
          <w:u w:val="single"/>
          <w:vertAlign w:val="superscript"/>
          <w:lang w:val="en-GB"/>
        </w:rPr>
        <w:t>[2]</w:t>
      </w:r>
      <w:r w:rsidRPr="00A65D9D">
        <w:rPr>
          <w:rFonts w:ascii="Book Antiqua" w:hAnsi="Book Antiqua" w:cs="Times New Roman"/>
          <w:color w:val="000000"/>
          <w:sz w:val="24"/>
          <w:szCs w:val="24"/>
          <w:lang w:val="en-GB"/>
        </w:rPr>
        <w:fldChar w:fldCharType="end"/>
      </w:r>
      <w:bookmarkEnd w:id="1"/>
      <w:r w:rsidRPr="00A65D9D">
        <w:rPr>
          <w:rFonts w:ascii="Book Antiqua" w:hAnsi="Book Antiqua" w:cs="Times New Roman"/>
          <w:color w:val="000000"/>
          <w:sz w:val="24"/>
          <w:szCs w:val="24"/>
          <w:lang w:val="en-GB"/>
        </w:rPr>
        <w:t xml:space="preserve">, Master </w:t>
      </w:r>
      <w:proofErr w:type="spellStart"/>
      <w:r w:rsidRPr="00A65D9D">
        <w:rPr>
          <w:rFonts w:ascii="Book Antiqua" w:hAnsi="Book Antiqua" w:cs="Times New Roman"/>
          <w:color w:val="000000"/>
          <w:sz w:val="24"/>
          <w:szCs w:val="24"/>
          <w:lang w:val="en-GB"/>
        </w:rPr>
        <w:t>Redpath</w:t>
      </w:r>
      <w:proofErr w:type="spellEnd"/>
      <w:r w:rsidRPr="00A65D9D">
        <w:rPr>
          <w:rFonts w:ascii="Book Antiqua" w:hAnsi="Book Antiqua" w:cs="Times New Roman"/>
          <w:color w:val="000000"/>
          <w:sz w:val="24"/>
          <w:szCs w:val="24"/>
          <w:lang w:val="en-GB"/>
        </w:rPr>
        <w:t xml:space="preserve"> held that a McKenzie Friend may be allowed a right of audience in very exceptional circumstances.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 xml:space="preserve">What McKenzie Friends may </w:t>
      </w:r>
      <w:proofErr w:type="gramStart"/>
      <w:r w:rsidRPr="00A65D9D">
        <w:rPr>
          <w:rFonts w:ascii="Book Antiqua" w:hAnsi="Book Antiqua" w:cs="Times New Roman"/>
          <w:b/>
          <w:bCs/>
          <w:color w:val="000000"/>
          <w:sz w:val="24"/>
          <w:szCs w:val="24"/>
          <w:lang w:val="en-GB"/>
        </w:rPr>
        <w:t>do </w:t>
      </w:r>
      <w:proofErr w:type="gramEnd"/>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3) McKenzie Friends may:</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proofErr w:type="spellStart"/>
      <w:r w:rsidRPr="00A65D9D">
        <w:rPr>
          <w:rFonts w:ascii="Book Antiqua" w:hAnsi="Book Antiqua" w:cs="Times New Roman"/>
          <w:color w:val="000000"/>
          <w:sz w:val="24"/>
          <w:szCs w:val="24"/>
          <w:lang w:val="en-GB"/>
        </w:rPr>
        <w:t>i</w:t>
      </w:r>
      <w:proofErr w:type="spellEnd"/>
      <w:r w:rsidRPr="00A65D9D">
        <w:rPr>
          <w:rFonts w:ascii="Book Antiqua" w:hAnsi="Book Antiqua" w:cs="Times New Roman"/>
          <w:color w:val="000000"/>
          <w:sz w:val="24"/>
          <w:szCs w:val="24"/>
          <w:lang w:val="en-GB"/>
        </w:rPr>
        <w:t xml:space="preserve">) </w:t>
      </w:r>
      <w:proofErr w:type="gramStart"/>
      <w:r w:rsidRPr="00A65D9D">
        <w:rPr>
          <w:rFonts w:ascii="Book Antiqua" w:hAnsi="Book Antiqua" w:cs="Times New Roman"/>
          <w:color w:val="000000"/>
          <w:sz w:val="24"/>
          <w:szCs w:val="24"/>
          <w:lang w:val="en-GB"/>
        </w:rPr>
        <w:t>provide</w:t>
      </w:r>
      <w:proofErr w:type="gramEnd"/>
      <w:r w:rsidRPr="00A65D9D">
        <w:rPr>
          <w:rFonts w:ascii="Book Antiqua" w:hAnsi="Book Antiqua" w:cs="Times New Roman"/>
          <w:color w:val="000000"/>
          <w:sz w:val="24"/>
          <w:szCs w:val="24"/>
          <w:lang w:val="en-GB"/>
        </w:rPr>
        <w:t xml:space="preserve"> moral support for personal litigants;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ii) </w:t>
      </w:r>
      <w:proofErr w:type="gramStart"/>
      <w:r w:rsidRPr="00A65D9D">
        <w:rPr>
          <w:rFonts w:ascii="Book Antiqua" w:hAnsi="Book Antiqua" w:cs="Times New Roman"/>
          <w:color w:val="000000"/>
          <w:sz w:val="24"/>
          <w:szCs w:val="24"/>
          <w:lang w:val="en-GB"/>
        </w:rPr>
        <w:t>take</w:t>
      </w:r>
      <w:proofErr w:type="gramEnd"/>
      <w:r w:rsidRPr="00A65D9D">
        <w:rPr>
          <w:rFonts w:ascii="Book Antiqua" w:hAnsi="Book Antiqua" w:cs="Times New Roman"/>
          <w:color w:val="000000"/>
          <w:sz w:val="24"/>
          <w:szCs w:val="24"/>
          <w:lang w:val="en-GB"/>
        </w:rPr>
        <w:t xml:space="preserve"> notes with the permission of the judge;</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 iii) </w:t>
      </w:r>
      <w:proofErr w:type="gramStart"/>
      <w:r w:rsidRPr="00A65D9D">
        <w:rPr>
          <w:rFonts w:ascii="Book Antiqua" w:hAnsi="Book Antiqua" w:cs="Times New Roman"/>
          <w:color w:val="000000"/>
          <w:sz w:val="24"/>
          <w:szCs w:val="24"/>
          <w:lang w:val="en-GB"/>
        </w:rPr>
        <w:t>help</w:t>
      </w:r>
      <w:proofErr w:type="gramEnd"/>
      <w:r w:rsidRPr="00A65D9D">
        <w:rPr>
          <w:rFonts w:ascii="Book Antiqua" w:hAnsi="Book Antiqua" w:cs="Times New Roman"/>
          <w:color w:val="000000"/>
          <w:sz w:val="24"/>
          <w:szCs w:val="24"/>
          <w:lang w:val="en-GB"/>
        </w:rPr>
        <w:t xml:space="preserve"> with case papers;</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 iii) </w:t>
      </w:r>
      <w:proofErr w:type="gramStart"/>
      <w:r w:rsidRPr="00A65D9D">
        <w:rPr>
          <w:rFonts w:ascii="Book Antiqua" w:hAnsi="Book Antiqua" w:cs="Times New Roman"/>
          <w:color w:val="000000"/>
          <w:sz w:val="24"/>
          <w:szCs w:val="24"/>
          <w:lang w:val="en-GB"/>
        </w:rPr>
        <w:t>quietly</w:t>
      </w:r>
      <w:proofErr w:type="gramEnd"/>
      <w:r w:rsidRPr="00A65D9D">
        <w:rPr>
          <w:rFonts w:ascii="Book Antiqua" w:hAnsi="Book Antiqua" w:cs="Times New Roman"/>
          <w:color w:val="000000"/>
          <w:sz w:val="24"/>
          <w:szCs w:val="24"/>
          <w:lang w:val="en-GB"/>
        </w:rPr>
        <w:t xml:space="preserve"> give advice on any aspect of the conduct of the case which is being heard.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 xml:space="preserve">What McKenzie Friends may not </w:t>
      </w:r>
      <w:proofErr w:type="gramStart"/>
      <w:r w:rsidRPr="00A65D9D">
        <w:rPr>
          <w:rFonts w:ascii="Book Antiqua" w:hAnsi="Book Antiqua" w:cs="Times New Roman"/>
          <w:b/>
          <w:bCs/>
          <w:color w:val="000000"/>
          <w:sz w:val="24"/>
          <w:szCs w:val="24"/>
          <w:lang w:val="en-GB"/>
        </w:rPr>
        <w:t>do </w:t>
      </w:r>
      <w:proofErr w:type="gramEnd"/>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4) McKenzie Friends may not: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proofErr w:type="spellStart"/>
      <w:r w:rsidRPr="00A65D9D">
        <w:rPr>
          <w:rFonts w:ascii="Book Antiqua" w:hAnsi="Book Antiqua" w:cs="Times New Roman"/>
          <w:color w:val="000000"/>
          <w:sz w:val="24"/>
          <w:szCs w:val="24"/>
          <w:lang w:val="en-GB"/>
        </w:rPr>
        <w:t>i</w:t>
      </w:r>
      <w:proofErr w:type="spellEnd"/>
      <w:r w:rsidRPr="00A65D9D">
        <w:rPr>
          <w:rFonts w:ascii="Book Antiqua" w:hAnsi="Book Antiqua" w:cs="Times New Roman"/>
          <w:color w:val="000000"/>
          <w:sz w:val="24"/>
          <w:szCs w:val="24"/>
          <w:lang w:val="en-GB"/>
        </w:rPr>
        <w:t>) Conduct the litigation, acting as the personal litigant’s agent in relation to the proceedings</w:t>
      </w:r>
      <w:proofErr w:type="gramStart"/>
      <w:r w:rsidRPr="00A65D9D">
        <w:rPr>
          <w:rFonts w:ascii="Book Antiqua" w:hAnsi="Book Antiqua" w:cs="Times New Roman"/>
          <w:color w:val="000000"/>
          <w:sz w:val="24"/>
          <w:szCs w:val="24"/>
          <w:lang w:val="en-GB"/>
        </w:rPr>
        <w:t>;</w:t>
      </w:r>
      <w:proofErr w:type="gramEnd"/>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ii) Manage the personal litigant’s cases outside court, for example by signing court documents; or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iii) Exercise a right of audience by addressing the court, making oral submissions or examining witnesses unless this has, in very exceptional circumstances, been authorised by the court.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It is a criminal offence to exercise rights of audience or to conduct </w:t>
      </w:r>
      <w:proofErr w:type="spellStart"/>
      <w:r w:rsidRPr="00A65D9D">
        <w:rPr>
          <w:rFonts w:ascii="Book Antiqua" w:hAnsi="Book Antiqua" w:cs="Times New Roman"/>
          <w:color w:val="000000"/>
          <w:sz w:val="24"/>
          <w:szCs w:val="24"/>
          <w:lang w:val="en-GB"/>
        </w:rPr>
        <w:t>ligitation</w:t>
      </w:r>
      <w:proofErr w:type="spellEnd"/>
      <w:r w:rsidRPr="00A65D9D">
        <w:rPr>
          <w:rFonts w:ascii="Book Antiqua" w:hAnsi="Book Antiqua" w:cs="Times New Roman"/>
          <w:color w:val="000000"/>
          <w:sz w:val="24"/>
          <w:szCs w:val="24"/>
          <w:lang w:val="en-GB"/>
        </w:rPr>
        <w:t xml:space="preserve"> unless properly qualified and authorised to do so by an appropriate regulatory body or with leave of the court. The very exceptional </w:t>
      </w:r>
      <w:r w:rsidRPr="00A65D9D">
        <w:rPr>
          <w:rFonts w:ascii="Book Antiqua" w:hAnsi="Book Antiqua" w:cs="Times New Roman"/>
          <w:color w:val="000000"/>
          <w:sz w:val="24"/>
          <w:szCs w:val="24"/>
          <w:lang w:val="en-GB"/>
        </w:rPr>
        <w:lastRenderedPageBreak/>
        <w:t>circumstances in which a McKenzie Friend can apply for rights of audience or to conduct litigation are set out in paragraphs [14-18] below.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Confidentiality</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 </w:t>
      </w:r>
    </w:p>
    <w:p w:rsidR="00A65D9D" w:rsidRPr="00A65D9D" w:rsidRDefault="00A65D9D" w:rsidP="00A65D9D">
      <w:pPr>
        <w:jc w:val="both"/>
        <w:rPr>
          <w:rFonts w:cs="Times New Roman"/>
          <w:color w:val="000000"/>
          <w:sz w:val="24"/>
          <w:szCs w:val="24"/>
          <w:lang w:val="en-GB"/>
        </w:rPr>
      </w:pPr>
      <w:proofErr w:type="gramStart"/>
      <w:r w:rsidRPr="00A65D9D">
        <w:rPr>
          <w:rFonts w:ascii="Book Antiqua" w:hAnsi="Book Antiqua" w:cs="Times New Roman"/>
          <w:color w:val="000000"/>
          <w:sz w:val="24"/>
          <w:szCs w:val="24"/>
          <w:lang w:val="en-GB"/>
        </w:rPr>
        <w:t>5)  A</w:t>
      </w:r>
      <w:proofErr w:type="gramEnd"/>
      <w:r w:rsidRPr="00A65D9D">
        <w:rPr>
          <w:rFonts w:ascii="Book Antiqua" w:hAnsi="Book Antiqua" w:cs="Times New Roman"/>
          <w:color w:val="000000"/>
          <w:sz w:val="24"/>
          <w:szCs w:val="24"/>
          <w:lang w:val="en-GB"/>
        </w:rPr>
        <w:t xml:space="preserve"> McKenzie Friend must observe strict confidentiality in relation to any documents they have sight of and any information they hear in relation to the proceedings. Breach of such confidentiality will usually amount to a contempt of court, giving rise to sanctions including a fine and imprisonment.</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Exercising the Right to Reasonable Assistance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5) While personal litigants ordinarily have a right to receive reasonable assistance from McKenzie Friends the court retains the power to refuse to permit the giving of such assistance. The refusal may occur on initial application or at any time during the hearing.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6) A </w:t>
      </w:r>
      <w:proofErr w:type="gramStart"/>
      <w:r w:rsidRPr="00A65D9D">
        <w:rPr>
          <w:rFonts w:ascii="Book Antiqua" w:hAnsi="Book Antiqua" w:cs="Times New Roman"/>
          <w:color w:val="000000"/>
          <w:sz w:val="24"/>
          <w:szCs w:val="24"/>
          <w:lang w:val="en-GB"/>
        </w:rPr>
        <w:t>personal  litigant</w:t>
      </w:r>
      <w:proofErr w:type="gramEnd"/>
      <w:r w:rsidRPr="00A65D9D">
        <w:rPr>
          <w:rFonts w:ascii="Book Antiqua" w:hAnsi="Book Antiqua" w:cs="Times New Roman"/>
          <w:color w:val="000000"/>
          <w:sz w:val="24"/>
          <w:szCs w:val="24"/>
          <w:lang w:val="en-GB"/>
        </w:rPr>
        <w:t xml:space="preserve"> may be denied the assistance of a McKenzie Friend or a particular McKenzie Friend because its provision might undermine or has undermined the efficient administration of justice. </w:t>
      </w:r>
      <w:proofErr w:type="spellStart"/>
      <w:r w:rsidRPr="00A65D9D">
        <w:rPr>
          <w:rFonts w:ascii="Book Antiqua" w:hAnsi="Book Antiqua" w:cs="Times New Roman"/>
          <w:color w:val="000000"/>
          <w:sz w:val="24"/>
          <w:szCs w:val="24"/>
          <w:lang w:val="en-GB"/>
        </w:rPr>
        <w:t>Illustrationss</w:t>
      </w:r>
      <w:proofErr w:type="spellEnd"/>
      <w:r w:rsidRPr="00A65D9D">
        <w:rPr>
          <w:rFonts w:ascii="Book Antiqua" w:hAnsi="Book Antiqua" w:cs="Times New Roman"/>
          <w:color w:val="000000"/>
          <w:sz w:val="24"/>
          <w:szCs w:val="24"/>
          <w:lang w:val="en-GB"/>
        </w:rPr>
        <w:t xml:space="preserve"> of circumstances where this might arise, which are not exhaustive, are: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proofErr w:type="spellStart"/>
      <w:r w:rsidRPr="00A65D9D">
        <w:rPr>
          <w:rFonts w:ascii="Book Antiqua" w:hAnsi="Book Antiqua" w:cs="Times New Roman"/>
          <w:color w:val="000000"/>
          <w:sz w:val="24"/>
          <w:szCs w:val="24"/>
          <w:lang w:val="en-GB"/>
        </w:rPr>
        <w:t>i</w:t>
      </w:r>
      <w:proofErr w:type="spellEnd"/>
      <w:r w:rsidRPr="00A65D9D">
        <w:rPr>
          <w:rFonts w:ascii="Book Antiqua" w:hAnsi="Book Antiqua" w:cs="Times New Roman"/>
          <w:color w:val="000000"/>
          <w:sz w:val="24"/>
          <w:szCs w:val="24"/>
          <w:lang w:val="en-GB"/>
        </w:rPr>
        <w:t xml:space="preserve">)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assistance is being provided for an improper purpose;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ii)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assistance is unreasonable in nature or degree;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iii)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McKenzie Friend is subject to an order such as a civil proceedings order or a civil restraint order or has been declared to be a vexatious litigant; by a court in Northern Ireland or in another jurisdiction of the United Kingdom;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iv)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McKenzie Friend is using the case to promote his or her own cause or interests or those of some other person, group or organisation, and not the interests of the personal litigant;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v)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McKenzie Friend is directly or indirectly conducting the litigation;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vi) </w:t>
      </w:r>
      <w:proofErr w:type="gramStart"/>
      <w:r w:rsidRPr="00A65D9D">
        <w:rPr>
          <w:rFonts w:ascii="Book Antiqua" w:hAnsi="Book Antiqua" w:cs="Times New Roman"/>
          <w:color w:val="000000"/>
          <w:sz w:val="24"/>
          <w:szCs w:val="24"/>
          <w:lang w:val="en-GB"/>
        </w:rPr>
        <w:t>the</w:t>
      </w:r>
      <w:proofErr w:type="gramEnd"/>
      <w:r w:rsidRPr="00A65D9D">
        <w:rPr>
          <w:rFonts w:ascii="Book Antiqua" w:hAnsi="Book Antiqua" w:cs="Times New Roman"/>
          <w:color w:val="000000"/>
          <w:sz w:val="24"/>
          <w:szCs w:val="24"/>
          <w:lang w:val="en-GB"/>
        </w:rPr>
        <w:t xml:space="preserve"> court is not satisfied that the McKenzie Friend fully understands and will comply with the duty of confidentiality.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7) The following factors are </w:t>
      </w:r>
      <w:r w:rsidRPr="00A65D9D">
        <w:rPr>
          <w:rFonts w:ascii="Book Antiqua" w:hAnsi="Book Antiqua" w:cs="Times New Roman"/>
          <w:color w:val="000000"/>
          <w:sz w:val="24"/>
          <w:szCs w:val="24"/>
          <w:u w:val="single"/>
          <w:lang w:val="en-GB"/>
        </w:rPr>
        <w:t>NOT of themselves sufficient</w:t>
      </w:r>
      <w:r w:rsidRPr="00A65D9D">
        <w:rPr>
          <w:rFonts w:ascii="Book Antiqua" w:hAnsi="Book Antiqua" w:cs="Times New Roman"/>
          <w:color w:val="000000"/>
          <w:sz w:val="24"/>
          <w:szCs w:val="24"/>
          <w:lang w:val="en-GB"/>
        </w:rPr>
        <w:t xml:space="preserve"> to justify the court refusing to permit a McKenzie Friend to assist a </w:t>
      </w:r>
      <w:proofErr w:type="gramStart"/>
      <w:r w:rsidRPr="00A65D9D">
        <w:rPr>
          <w:rFonts w:ascii="Book Antiqua" w:hAnsi="Book Antiqua" w:cs="Times New Roman"/>
          <w:color w:val="000000"/>
          <w:sz w:val="24"/>
          <w:szCs w:val="24"/>
          <w:lang w:val="en-GB"/>
        </w:rPr>
        <w:t>personal  litigant</w:t>
      </w:r>
      <w:proofErr w:type="gramEnd"/>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cs="Times New Roman"/>
          <w:color w:val="000000"/>
          <w:sz w:val="14"/>
          <w:szCs w:val="14"/>
          <w:lang w:val="en-GB"/>
        </w:rPr>
        <w:t>                        </w:t>
      </w: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w:t>
      </w:r>
      <w:proofErr w:type="spellStart"/>
      <w:r w:rsidRPr="00A65D9D">
        <w:rPr>
          <w:rFonts w:ascii="Book Antiqua" w:hAnsi="Book Antiqua" w:cs="Times New Roman"/>
          <w:color w:val="000000"/>
          <w:sz w:val="24"/>
          <w:szCs w:val="24"/>
          <w:lang w:val="en-GB"/>
        </w:rPr>
        <w:t>i</w:t>
      </w:r>
      <w:proofErr w:type="spellEnd"/>
      <w:r w:rsidRPr="00A65D9D">
        <w:rPr>
          <w:rFonts w:ascii="Book Antiqua" w:hAnsi="Book Antiqua" w:cs="Times New Roman"/>
          <w:color w:val="000000"/>
          <w:sz w:val="24"/>
          <w:szCs w:val="24"/>
          <w:lang w:val="en-GB"/>
        </w:rPr>
        <w:t>) The case or application is simple or straightforward, or is, for instance, a directions or case management hearing</w:t>
      </w:r>
      <w:proofErr w:type="gramStart"/>
      <w:r w:rsidRPr="00A65D9D">
        <w:rPr>
          <w:rFonts w:ascii="Book Antiqua" w:hAnsi="Book Antiqua" w:cs="Times New Roman"/>
          <w:color w:val="000000"/>
          <w:sz w:val="24"/>
          <w:szCs w:val="24"/>
          <w:lang w:val="en-GB"/>
        </w:rPr>
        <w:t>;</w:t>
      </w:r>
      <w:proofErr w:type="gramEnd"/>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(ii) The personal litigant appears capable of conducting the case without assistance</w:t>
      </w:r>
      <w:proofErr w:type="gramStart"/>
      <w:r w:rsidRPr="00A65D9D">
        <w:rPr>
          <w:rFonts w:ascii="Book Antiqua" w:hAnsi="Book Antiqua" w:cs="Times New Roman"/>
          <w:color w:val="000000"/>
          <w:sz w:val="24"/>
          <w:szCs w:val="24"/>
          <w:lang w:val="en-GB"/>
        </w:rPr>
        <w:t>;</w:t>
      </w:r>
      <w:proofErr w:type="gramEnd"/>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(iii) The personal litigant is unrepresented through choice;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proofErr w:type="gramStart"/>
      <w:r w:rsidRPr="00A65D9D">
        <w:rPr>
          <w:rFonts w:ascii="Book Antiqua" w:hAnsi="Book Antiqua" w:cs="Times New Roman"/>
          <w:color w:val="000000"/>
          <w:sz w:val="24"/>
          <w:szCs w:val="24"/>
          <w:lang w:val="en-GB"/>
        </w:rPr>
        <w:t>(iv) The</w:t>
      </w:r>
      <w:proofErr w:type="gramEnd"/>
      <w:r w:rsidRPr="00A65D9D">
        <w:rPr>
          <w:rFonts w:ascii="Book Antiqua" w:hAnsi="Book Antiqua" w:cs="Times New Roman"/>
          <w:color w:val="000000"/>
          <w:sz w:val="24"/>
          <w:szCs w:val="24"/>
          <w:lang w:val="en-GB"/>
        </w:rPr>
        <w:t xml:space="preserve"> other party is not represented;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(v) The proposed McKenzie Friend belongs to an organisation that promotes a particular cause</w:t>
      </w:r>
      <w:proofErr w:type="gramStart"/>
      <w:r w:rsidRPr="00A65D9D">
        <w:rPr>
          <w:rFonts w:ascii="Book Antiqua" w:hAnsi="Book Antiqua" w:cs="Times New Roman"/>
          <w:color w:val="000000"/>
          <w:sz w:val="24"/>
          <w:szCs w:val="24"/>
          <w:lang w:val="en-GB"/>
        </w:rPr>
        <w:t>;</w:t>
      </w:r>
      <w:proofErr w:type="gramEnd"/>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ind w:left="720"/>
        <w:jc w:val="both"/>
        <w:rPr>
          <w:rFonts w:cs="Times New Roman"/>
          <w:color w:val="000000"/>
          <w:sz w:val="24"/>
          <w:szCs w:val="24"/>
          <w:lang w:val="en-GB"/>
        </w:rPr>
      </w:pPr>
      <w:proofErr w:type="gramStart"/>
      <w:r w:rsidRPr="00A65D9D">
        <w:rPr>
          <w:rFonts w:ascii="Book Antiqua" w:hAnsi="Book Antiqua" w:cs="Times New Roman"/>
          <w:color w:val="000000"/>
          <w:sz w:val="24"/>
          <w:szCs w:val="24"/>
          <w:lang w:val="en-GB"/>
        </w:rPr>
        <w:t>(vi) The</w:t>
      </w:r>
      <w:proofErr w:type="gramEnd"/>
      <w:r w:rsidRPr="00A65D9D">
        <w:rPr>
          <w:rFonts w:ascii="Book Antiqua" w:hAnsi="Book Antiqua" w:cs="Times New Roman"/>
          <w:color w:val="000000"/>
          <w:sz w:val="24"/>
          <w:szCs w:val="24"/>
          <w:lang w:val="en-GB"/>
        </w:rPr>
        <w:t xml:space="preserve"> proceedings are confidential and the court papers contain sensitive information relating to a family’s affairs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8) A personal litigant who wishes to exercise this right should inform the judge as soon as possible indicating the identity of the proposed McKenzie Friend. The proposed McKenzie Friend should produce a short curriculum vitae or other statement setting out relevant experience, confirming that he or she has no personal interest in the case and understands the McKenzie Friend’s role and the duty of confidentiality.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90) The court may refuse to allow a personal litigant to exercise the right to receive assistance at the start of a hearing. The court may also circumscribe or remove the right during the course of a </w:t>
      </w:r>
      <w:proofErr w:type="spellStart"/>
      <w:r w:rsidRPr="00A65D9D">
        <w:rPr>
          <w:rFonts w:ascii="Book Antiqua" w:hAnsi="Book Antiqua" w:cs="Times New Roman"/>
          <w:color w:val="000000"/>
          <w:sz w:val="24"/>
          <w:szCs w:val="24"/>
          <w:lang w:val="en-GB"/>
        </w:rPr>
        <w:t>hearing</w:t>
      </w:r>
      <w:proofErr w:type="gramStart"/>
      <w:r w:rsidRPr="00A65D9D">
        <w:rPr>
          <w:rFonts w:ascii="Book Antiqua" w:hAnsi="Book Antiqua" w:cs="Times New Roman"/>
          <w:color w:val="000000"/>
          <w:sz w:val="24"/>
          <w:szCs w:val="24"/>
          <w:lang w:val="en-GB"/>
        </w:rPr>
        <w:t>,where</w:t>
      </w:r>
      <w:proofErr w:type="spellEnd"/>
      <w:proofErr w:type="gramEnd"/>
      <w:r w:rsidRPr="00A65D9D">
        <w:rPr>
          <w:rFonts w:ascii="Book Antiqua" w:hAnsi="Book Antiqua" w:cs="Times New Roman"/>
          <w:color w:val="000000"/>
          <w:sz w:val="24"/>
          <w:szCs w:val="24"/>
          <w:lang w:val="en-GB"/>
        </w:rPr>
        <w:t xml:space="preserve"> the court forms the view that a McKenzie Friend, or a particular McKenzie Friend, may give, has given, or is giving, assistance which impedes the efficient administration of justice. </w:t>
      </w:r>
      <w:proofErr w:type="spellStart"/>
      <w:r w:rsidRPr="00A65D9D">
        <w:rPr>
          <w:rFonts w:ascii="Book Antiqua" w:hAnsi="Book Antiqua" w:cs="Times New Roman"/>
          <w:color w:val="000000"/>
          <w:sz w:val="24"/>
          <w:szCs w:val="24"/>
          <w:lang w:val="en-GB"/>
        </w:rPr>
        <w:t>Tthe</w:t>
      </w:r>
      <w:proofErr w:type="spellEnd"/>
      <w:r w:rsidRPr="00A65D9D">
        <w:rPr>
          <w:rFonts w:ascii="Book Antiqua" w:hAnsi="Book Antiqua" w:cs="Times New Roman"/>
          <w:color w:val="000000"/>
          <w:sz w:val="24"/>
          <w:szCs w:val="24"/>
          <w:lang w:val="en-GB"/>
        </w:rPr>
        <w:t xml:space="preserve"> court may in the first instance issue a firm and unequivocal warning to the personal litigant and/or McKenzie Friend. It is likely that the court may give reasons for refusal and the personal litigant, but not the McKenzie Friend has a right to appeal the decision.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10) Where </w:t>
      </w:r>
      <w:proofErr w:type="gramStart"/>
      <w:r w:rsidRPr="00A65D9D">
        <w:rPr>
          <w:rFonts w:ascii="Book Antiqua" w:hAnsi="Book Antiqua" w:cs="Times New Roman"/>
          <w:color w:val="000000"/>
          <w:sz w:val="24"/>
          <w:szCs w:val="24"/>
          <w:lang w:val="en-GB"/>
        </w:rPr>
        <w:t>a  personal</w:t>
      </w:r>
      <w:proofErr w:type="gramEnd"/>
      <w:r w:rsidRPr="00A65D9D">
        <w:rPr>
          <w:rFonts w:ascii="Book Antiqua" w:hAnsi="Book Antiqua" w:cs="Times New Roman"/>
          <w:color w:val="000000"/>
          <w:sz w:val="24"/>
          <w:szCs w:val="24"/>
          <w:lang w:val="en-GB"/>
        </w:rPr>
        <w:t xml:space="preserve"> litigant is receiving assistance from a McKenzie Friend in care proceedings, the court should consider the desirability of the McKenzie Friend’s attendance at any joint consultations directed by the court and, if he or she is to attend, the most effective and appropriate way in which that person should be involved in the joint consultation, bearing in mind the limits of their role, and should give directions accordingly.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11) Personal litigants are in general permitted to communicate any information, including filed evidence, relating to the proceedings to McKenzie Friends for the purpose of obtaining advice or assistance in relation to the proceedings. In the case of proceedings involving children, however, this may only be done with the permission of the judge</w:t>
      </w:r>
      <w:bookmarkStart w:id="2" w:name="_ftnref3"/>
      <w:r w:rsidRPr="00A65D9D">
        <w:rPr>
          <w:rFonts w:ascii="Book Antiqua" w:hAnsi="Book Antiqua" w:cs="Times New Roman"/>
          <w:color w:val="000000"/>
          <w:sz w:val="24"/>
          <w:szCs w:val="24"/>
          <w:lang w:val="en-GB"/>
        </w:rPr>
        <w:fldChar w:fldCharType="begin"/>
      </w:r>
      <w:r w:rsidRPr="00A65D9D">
        <w:rPr>
          <w:rFonts w:ascii="Book Antiqua" w:hAnsi="Book Antiqua" w:cs="Times New Roman"/>
          <w:color w:val="000000"/>
          <w:sz w:val="24"/>
          <w:szCs w:val="24"/>
          <w:lang w:val="en-GB"/>
        </w:rPr>
        <w:instrText xml:space="preserve"> HYPERLINK "http://www.courtsni.gov.uk/en-gb/judicial%20decisions/practice%20directions/documents/practice%20note%2003-12/practice%20note%2003-12.htm" \l "_ftn3" \o "" </w:instrText>
      </w:r>
      <w:r w:rsidRPr="00A65D9D">
        <w:rPr>
          <w:rFonts w:ascii="Book Antiqua" w:hAnsi="Book Antiqua" w:cs="Times New Roman"/>
          <w:color w:val="000000"/>
          <w:sz w:val="24"/>
          <w:szCs w:val="24"/>
          <w:lang w:val="en-GB"/>
        </w:rPr>
      </w:r>
      <w:r w:rsidRPr="00A65D9D">
        <w:rPr>
          <w:rFonts w:ascii="Book Antiqua" w:hAnsi="Book Antiqua" w:cs="Times New Roman"/>
          <w:color w:val="000000"/>
          <w:sz w:val="24"/>
          <w:szCs w:val="24"/>
          <w:lang w:val="en-GB"/>
        </w:rPr>
        <w:fldChar w:fldCharType="separate"/>
      </w:r>
      <w:r w:rsidRPr="00A65D9D">
        <w:rPr>
          <w:rFonts w:ascii="Book Antiqua" w:hAnsi="Book Antiqua" w:cs="Times New Roman"/>
          <w:color w:val="0000FF"/>
          <w:sz w:val="24"/>
          <w:szCs w:val="24"/>
          <w:u w:val="single"/>
          <w:vertAlign w:val="superscript"/>
          <w:lang w:val="en-GB"/>
        </w:rPr>
        <w:t>[3]</w:t>
      </w:r>
      <w:r w:rsidRPr="00A65D9D">
        <w:rPr>
          <w:rFonts w:ascii="Book Antiqua" w:hAnsi="Book Antiqua" w:cs="Times New Roman"/>
          <w:color w:val="000000"/>
          <w:sz w:val="24"/>
          <w:szCs w:val="24"/>
          <w:lang w:val="en-GB"/>
        </w:rPr>
        <w:fldChar w:fldCharType="end"/>
      </w:r>
      <w:bookmarkEnd w:id="2"/>
      <w:r w:rsidRPr="00A65D9D">
        <w:rPr>
          <w:rFonts w:ascii="Book Antiqua" w:hAnsi="Book Antiqua" w:cs="Times New Roman"/>
          <w:color w:val="000000"/>
          <w:sz w:val="24"/>
          <w:szCs w:val="24"/>
          <w:lang w:val="en-GB"/>
        </w:rPr>
        <w:t>.  This requires an application to the judge for permission and if the judge grants it then ordinarily conditions will be imposed giving further protection to confidentiality.</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12) Legal representatives of other parties should ensure that documents are served on personal litigants in good time to enable them to seek assistance regarding their content from McKenzie Friends in advance of any hearing or advocates’ meeting.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Part II - Rights of audience and rights to conduct litigation</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13) Rights of audience and the right to conduct litigation on behalf of another are not part of the function of a McKenzie Friend but the following paragraphs apply to a McKenzie Friend, or to another individual, who wishes to apply for such a right. Unlike an application for reasonable assistance from a McKenzie Friend, there is no presumption in favour of granting these rights. Application should be made at the earliest possible opportunity and preferably </w:t>
      </w:r>
      <w:proofErr w:type="gramStart"/>
      <w:r w:rsidRPr="00A65D9D">
        <w:rPr>
          <w:rFonts w:ascii="Book Antiqua" w:hAnsi="Book Antiqua" w:cs="Times New Roman"/>
          <w:color w:val="000000"/>
          <w:sz w:val="24"/>
          <w:szCs w:val="24"/>
          <w:lang w:val="en-GB"/>
        </w:rPr>
        <w:t>before  the</w:t>
      </w:r>
      <w:proofErr w:type="gramEnd"/>
      <w:r w:rsidRPr="00A65D9D">
        <w:rPr>
          <w:rFonts w:ascii="Book Antiqua" w:hAnsi="Book Antiqua" w:cs="Times New Roman"/>
          <w:color w:val="000000"/>
          <w:sz w:val="24"/>
          <w:szCs w:val="24"/>
          <w:lang w:val="en-GB"/>
        </w:rPr>
        <w:t xml:space="preserve"> hearing.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14) Courts should be slow to grant any application from a personal litigant for a right of audience or a right to conduct litigation to any </w:t>
      </w:r>
      <w:proofErr w:type="gramStart"/>
      <w:r w:rsidRPr="00A65D9D">
        <w:rPr>
          <w:rFonts w:ascii="Book Antiqua" w:hAnsi="Book Antiqua" w:cs="Times New Roman"/>
          <w:color w:val="000000"/>
          <w:sz w:val="24"/>
          <w:szCs w:val="24"/>
          <w:lang w:val="en-GB"/>
        </w:rPr>
        <w:t>lay person</w:t>
      </w:r>
      <w:proofErr w:type="gramEnd"/>
      <w:r w:rsidRPr="00A65D9D">
        <w:rPr>
          <w:rFonts w:ascii="Book Antiqua" w:hAnsi="Book Antiqua" w:cs="Times New Roman"/>
          <w:color w:val="000000"/>
          <w:sz w:val="24"/>
          <w:szCs w:val="24"/>
          <w:lang w:val="en-GB"/>
        </w:rPr>
        <w:t>, including a McKenzie Friend. This is because a person exercising such rights must ordinarily be properly trained, be under professional discipline (including an obligation to insure against liability for negligence) and be subject to an overriding duty to the court. These requirements are necessary for the protection of all parties to litigation and are essential to the proper administration of justice.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15) Only very exceptional circumstances will justify the grant of a right of audience to a </w:t>
      </w:r>
      <w:proofErr w:type="gramStart"/>
      <w:r w:rsidRPr="00A65D9D">
        <w:rPr>
          <w:rFonts w:ascii="Book Antiqua" w:hAnsi="Book Antiqua" w:cs="Times New Roman"/>
          <w:color w:val="000000"/>
          <w:sz w:val="24"/>
          <w:szCs w:val="24"/>
          <w:lang w:val="en-GB"/>
        </w:rPr>
        <w:t>lay person</w:t>
      </w:r>
      <w:proofErr w:type="gramEnd"/>
      <w:r w:rsidRPr="00A65D9D">
        <w:rPr>
          <w:rFonts w:ascii="Book Antiqua" w:hAnsi="Book Antiqua" w:cs="Times New Roman"/>
          <w:color w:val="000000"/>
          <w:sz w:val="24"/>
          <w:szCs w:val="24"/>
          <w:lang w:val="en-GB"/>
        </w:rPr>
        <w:t xml:space="preserve">, including a McKenzie Friend. Examples are health problems or disability </w:t>
      </w:r>
      <w:proofErr w:type="gramStart"/>
      <w:r w:rsidRPr="00A65D9D">
        <w:rPr>
          <w:rFonts w:ascii="Book Antiqua" w:hAnsi="Book Antiqua" w:cs="Times New Roman"/>
          <w:color w:val="000000"/>
          <w:sz w:val="24"/>
          <w:szCs w:val="24"/>
          <w:lang w:val="en-GB"/>
        </w:rPr>
        <w:t>issues which</w:t>
      </w:r>
      <w:proofErr w:type="gramEnd"/>
      <w:r w:rsidRPr="00A65D9D">
        <w:rPr>
          <w:rFonts w:ascii="Book Antiqua" w:hAnsi="Book Antiqua" w:cs="Times New Roman"/>
          <w:color w:val="000000"/>
          <w:sz w:val="24"/>
          <w:szCs w:val="24"/>
          <w:lang w:val="en-GB"/>
        </w:rPr>
        <w:t xml:space="preserve"> preclude the personal litigant from addressing the court or conducting litigation where qualified legal representation is not available to the personal litigant.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16) The grant of a right of audience or a right to conduct litigation to lay persons who hold themselves out as professional advocates or professional McKenzie Friends or who seek to exercise such rights on a regular basis, whether for reward or not, will equally </w:t>
      </w:r>
      <w:r w:rsidRPr="00A65D9D">
        <w:rPr>
          <w:rFonts w:ascii="Book Antiqua" w:hAnsi="Book Antiqua" w:cs="Times New Roman"/>
          <w:b/>
          <w:bCs/>
          <w:color w:val="000000"/>
          <w:sz w:val="24"/>
          <w:szCs w:val="24"/>
          <w:lang w:val="en-GB"/>
        </w:rPr>
        <w:t>only </w:t>
      </w:r>
      <w:r w:rsidRPr="00A65D9D">
        <w:rPr>
          <w:rFonts w:ascii="Book Antiqua" w:hAnsi="Book Antiqua" w:cs="Times New Roman"/>
          <w:color w:val="000000"/>
          <w:sz w:val="24"/>
          <w:szCs w:val="24"/>
          <w:lang w:val="en-GB"/>
        </w:rPr>
        <w:t>be granted in exceptional circumstances. To do otherwise would tend to subvert the will of Parliament.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17) Rights of audience and the right to conduct litigation are separate rights. The grant of one right to a </w:t>
      </w:r>
      <w:proofErr w:type="gramStart"/>
      <w:r w:rsidRPr="00A65D9D">
        <w:rPr>
          <w:rFonts w:ascii="Book Antiqua" w:hAnsi="Book Antiqua" w:cs="Times New Roman"/>
          <w:color w:val="000000"/>
          <w:sz w:val="24"/>
          <w:szCs w:val="24"/>
          <w:lang w:val="en-GB"/>
        </w:rPr>
        <w:t>lay person</w:t>
      </w:r>
      <w:proofErr w:type="gramEnd"/>
      <w:r w:rsidRPr="00A65D9D">
        <w:rPr>
          <w:rFonts w:ascii="Book Antiqua" w:hAnsi="Book Antiqua" w:cs="Times New Roman"/>
          <w:color w:val="000000"/>
          <w:sz w:val="24"/>
          <w:szCs w:val="24"/>
          <w:lang w:val="en-GB"/>
        </w:rPr>
        <w:t xml:space="preserve"> does not mean that a grant of the other right has been made. If both rights are sought their grant must be applied for individually and justified separately.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Remuneration </w:t>
      </w:r>
    </w:p>
    <w:p w:rsidR="00A65D9D" w:rsidRPr="00A65D9D" w:rsidRDefault="00A65D9D" w:rsidP="00A65D9D">
      <w:pPr>
        <w:jc w:val="both"/>
        <w:rPr>
          <w:rFonts w:cs="Times New Roman"/>
          <w:color w:val="000000"/>
          <w:sz w:val="24"/>
          <w:szCs w:val="24"/>
          <w:lang w:val="en-GB"/>
        </w:rPr>
      </w:pPr>
      <w:r w:rsidRPr="00A65D9D">
        <w:rPr>
          <w:rFonts w:cs="Times New Roman"/>
          <w:color w:val="000000"/>
          <w:sz w:val="14"/>
          <w:szCs w:val="14"/>
          <w:lang w:val="en-GB"/>
        </w:rPr>
        <w:t>                        </w:t>
      </w:r>
      <w:r w:rsidRPr="00A65D9D">
        <w:rPr>
          <w:rFonts w:ascii="Book Antiqua" w:hAnsi="Book Antiqua" w:cs="Times New Roman"/>
          <w:color w:val="000000"/>
          <w:sz w:val="24"/>
          <w:szCs w:val="24"/>
          <w:lang w:val="en-GB"/>
        </w:rPr>
        <w:t>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18) Personal litigants can enter into lawful agreements to pay fees to McKenzie Friends for the provision of reasonable assistance in court or out of court by, for instance, carrying out clerical or mechanical activities, such as photocopying documents, preparing bundles, delivering documents to opposing parties or the court, or the provision of legal advice in connection with court proceedings. Such fees cannot be lawfully recovered from the opposing party.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19) Fees </w:t>
      </w:r>
      <w:proofErr w:type="gramStart"/>
      <w:r w:rsidRPr="00A65D9D">
        <w:rPr>
          <w:rFonts w:ascii="Book Antiqua" w:hAnsi="Book Antiqua" w:cs="Times New Roman"/>
          <w:color w:val="000000"/>
          <w:sz w:val="24"/>
          <w:szCs w:val="24"/>
          <w:lang w:val="en-GB"/>
        </w:rPr>
        <w:t>claimed to have been incurred</w:t>
      </w:r>
      <w:proofErr w:type="gramEnd"/>
      <w:r w:rsidRPr="00A65D9D">
        <w:rPr>
          <w:rFonts w:ascii="Book Antiqua" w:hAnsi="Book Antiqua" w:cs="Times New Roman"/>
          <w:color w:val="000000"/>
          <w:sz w:val="24"/>
          <w:szCs w:val="24"/>
          <w:lang w:val="en-GB"/>
        </w:rPr>
        <w:t xml:space="preserve"> by McKenzie Friends for carrying out the conduct of litigation, where the court has not granted such a right, cannot lawfully be recovered from either the personal litigant for whom they carry out such work or the opposing party.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20) Fees </w:t>
      </w:r>
      <w:proofErr w:type="gramStart"/>
      <w:r w:rsidRPr="00A65D9D">
        <w:rPr>
          <w:rFonts w:ascii="Book Antiqua" w:hAnsi="Book Antiqua" w:cs="Times New Roman"/>
          <w:color w:val="000000"/>
          <w:sz w:val="24"/>
          <w:szCs w:val="24"/>
          <w:lang w:val="en-GB"/>
        </w:rPr>
        <w:t>claimed to have been incurred</w:t>
      </w:r>
      <w:proofErr w:type="gramEnd"/>
      <w:r w:rsidRPr="00A65D9D">
        <w:rPr>
          <w:rFonts w:ascii="Book Antiqua" w:hAnsi="Book Antiqua" w:cs="Times New Roman"/>
          <w:color w:val="000000"/>
          <w:sz w:val="24"/>
          <w:szCs w:val="24"/>
          <w:lang w:val="en-GB"/>
        </w:rPr>
        <w:t xml:space="preserve"> by McKenzie Friends for carrying out the conduct of litigation after the court has granted such a right are in principle recoverable from the personal litigant for whom the work is carried out. Such fees cannot be lawfully recovered from the opposing party.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xml:space="preserve">21) Fees </w:t>
      </w:r>
      <w:proofErr w:type="gramStart"/>
      <w:r w:rsidRPr="00A65D9D">
        <w:rPr>
          <w:rFonts w:ascii="Book Antiqua" w:hAnsi="Book Antiqua" w:cs="Times New Roman"/>
          <w:color w:val="000000"/>
          <w:sz w:val="24"/>
          <w:szCs w:val="24"/>
          <w:lang w:val="en-GB"/>
        </w:rPr>
        <w:t>claimed to have been incurred</w:t>
      </w:r>
      <w:proofErr w:type="gramEnd"/>
      <w:r w:rsidRPr="00A65D9D">
        <w:rPr>
          <w:rFonts w:ascii="Book Antiqua" w:hAnsi="Book Antiqua" w:cs="Times New Roman"/>
          <w:color w:val="000000"/>
          <w:sz w:val="24"/>
          <w:szCs w:val="24"/>
          <w:lang w:val="en-GB"/>
        </w:rPr>
        <w:t xml:space="preserve"> by McKenzie Friends for exercising a right of audience following the grant of such a right by the court are in principle recoverable from the personal litigant on whose behalf the right is exercised. Such fees are also recoverable, in principle, from the opposing party as a recoverable disbursement: Rules of the Court of Judicature 1980 Order 62 rules 18(1) and 18(2).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ascii="Georgia" w:hAnsi="Georgia"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b/>
          <w:bCs/>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Signed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bookmarkStart w:id="3" w:name="_GoBack"/>
      <w:bookmarkEnd w:id="3"/>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The Right Honourable Sir Declan Morgan</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Lord Chief Justice of Northern Ireland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5 September 2012 </w:t>
      </w:r>
    </w:p>
    <w:p w:rsidR="00A65D9D" w:rsidRPr="00A65D9D" w:rsidRDefault="00A65D9D" w:rsidP="00A65D9D">
      <w:pPr>
        <w:jc w:val="both"/>
        <w:rPr>
          <w:rFonts w:cs="Times New Roman"/>
          <w:color w:val="000000"/>
          <w:sz w:val="24"/>
          <w:szCs w:val="24"/>
          <w:lang w:val="en-GB"/>
        </w:rPr>
      </w:pPr>
      <w:r w:rsidRPr="00A65D9D">
        <w:rPr>
          <w:rFonts w:ascii="Book Antiqua" w:hAnsi="Book Antiqua" w:cs="Times New Roman"/>
          <w:color w:val="000000"/>
          <w:sz w:val="24"/>
          <w:szCs w:val="24"/>
          <w:lang w:val="en-GB"/>
        </w:rPr>
        <w:t> </w:t>
      </w:r>
    </w:p>
    <w:p w:rsidR="00A65D9D" w:rsidRPr="00A65D9D" w:rsidRDefault="00A65D9D" w:rsidP="00A65D9D">
      <w:pPr>
        <w:rPr>
          <w:rFonts w:ascii="-webkit-standard" w:eastAsia="Times New Roman" w:hAnsi="-webkit-standard" w:cs="Times New Roman"/>
          <w:color w:val="000000"/>
          <w:sz w:val="20"/>
          <w:szCs w:val="20"/>
          <w:lang w:val="en-GB"/>
        </w:rPr>
      </w:pPr>
      <w:r w:rsidRPr="00A65D9D">
        <w:rPr>
          <w:rFonts w:ascii="-webkit-standard" w:eastAsia="Times New Roman" w:hAnsi="-webkit-standard" w:cs="Times New Roman"/>
          <w:color w:val="000000"/>
          <w:sz w:val="20"/>
          <w:szCs w:val="20"/>
          <w:lang w:val="en-GB"/>
        </w:rPr>
        <w:br w:type="textWrapping" w:clear="all"/>
      </w:r>
    </w:p>
    <w:p w:rsidR="00A65D9D" w:rsidRPr="00A65D9D" w:rsidRDefault="00A65D9D" w:rsidP="00A65D9D">
      <w:pPr>
        <w:rPr>
          <w:rFonts w:ascii="-webkit-standard" w:eastAsia="Times New Roman" w:hAnsi="-webkit-standard" w:cs="Times New Roman"/>
          <w:color w:val="000000"/>
          <w:sz w:val="20"/>
          <w:szCs w:val="20"/>
          <w:lang w:val="en-GB"/>
        </w:rPr>
      </w:pPr>
      <w:r w:rsidRPr="00A65D9D">
        <w:rPr>
          <w:rFonts w:ascii="-webkit-standard" w:eastAsia="Times New Roman" w:hAnsi="-webkit-standard" w:cs="Times New Roman"/>
          <w:color w:val="000000"/>
          <w:sz w:val="20"/>
          <w:szCs w:val="20"/>
          <w:lang w:val="en-GB"/>
        </w:rPr>
        <w:pict>
          <v:rect id="_x0000_i1025" style="width:136.95pt;height:1pt" o:hrpct="330" o:hrstd="t" o:hr="t" fillcolor="#aaa" stroked="f"/>
        </w:pict>
      </w:r>
    </w:p>
    <w:bookmarkStart w:id="4" w:name="_ftn1"/>
    <w:p w:rsidR="00A65D9D" w:rsidRPr="00A65D9D" w:rsidRDefault="00A65D9D" w:rsidP="00A65D9D">
      <w:pPr>
        <w:rPr>
          <w:rFonts w:ascii="Georgia" w:hAnsi="Georgia" w:cs="Times New Roman"/>
          <w:color w:val="000000"/>
          <w:sz w:val="24"/>
          <w:szCs w:val="24"/>
          <w:lang w:val="en-GB"/>
        </w:rPr>
      </w:pPr>
      <w:r w:rsidRPr="00A65D9D">
        <w:rPr>
          <w:rFonts w:ascii="Georgia" w:hAnsi="Georgia" w:cs="Times New Roman"/>
          <w:color w:val="000000"/>
          <w:sz w:val="24"/>
          <w:szCs w:val="24"/>
          <w:lang w:val="en-GB"/>
        </w:rPr>
        <w:fldChar w:fldCharType="begin"/>
      </w:r>
      <w:r w:rsidRPr="00A65D9D">
        <w:rPr>
          <w:rFonts w:ascii="Georgia" w:hAnsi="Georgia" w:cs="Times New Roman"/>
          <w:color w:val="000000"/>
          <w:sz w:val="24"/>
          <w:szCs w:val="24"/>
          <w:lang w:val="en-GB"/>
        </w:rPr>
        <w:instrText xml:space="preserve"> HYPERLINK "http://www.courtsni.gov.uk/en-gb/judicial%20decisions/practice%20directions/documents/practice%20note%2003-12/practice%20note%2003-12.htm" \l "_ftnref1" \o "" </w:instrText>
      </w:r>
      <w:r w:rsidRPr="00A65D9D">
        <w:rPr>
          <w:rFonts w:ascii="Georgia" w:hAnsi="Georgia" w:cs="Times New Roman"/>
          <w:color w:val="000000"/>
          <w:sz w:val="24"/>
          <w:szCs w:val="24"/>
          <w:lang w:val="en-GB"/>
        </w:rPr>
      </w:r>
      <w:r w:rsidRPr="00A65D9D">
        <w:rPr>
          <w:rFonts w:ascii="Georgia" w:hAnsi="Georgia" w:cs="Times New Roman"/>
          <w:color w:val="000000"/>
          <w:sz w:val="24"/>
          <w:szCs w:val="24"/>
          <w:lang w:val="en-GB"/>
        </w:rPr>
        <w:fldChar w:fldCharType="separate"/>
      </w:r>
      <w:r w:rsidRPr="00A65D9D">
        <w:rPr>
          <w:rFonts w:ascii="Book Antiqua" w:hAnsi="Book Antiqua" w:cs="Times New Roman"/>
          <w:color w:val="000000"/>
          <w:sz w:val="20"/>
          <w:szCs w:val="20"/>
          <w:u w:val="single"/>
          <w:vertAlign w:val="superscript"/>
          <w:lang w:val="en-GB"/>
        </w:rPr>
        <w:t>[1]</w:t>
      </w:r>
      <w:r w:rsidRPr="00A65D9D">
        <w:rPr>
          <w:rFonts w:ascii="Georgia" w:hAnsi="Georgia" w:cs="Times New Roman"/>
          <w:color w:val="000000"/>
          <w:sz w:val="24"/>
          <w:szCs w:val="24"/>
          <w:lang w:val="en-GB"/>
        </w:rPr>
        <w:fldChar w:fldCharType="end"/>
      </w:r>
      <w:bookmarkEnd w:id="4"/>
      <w:proofErr w:type="spellStart"/>
      <w:r w:rsidRPr="00A65D9D">
        <w:rPr>
          <w:rFonts w:ascii="Book Antiqua" w:hAnsi="Book Antiqua" w:cs="Times New Roman"/>
          <w:color w:val="000000"/>
          <w:sz w:val="20"/>
          <w:szCs w:val="20"/>
          <w:u w:val="single"/>
          <w:lang w:val="en-GB"/>
        </w:rPr>
        <w:t>McA</w:t>
      </w:r>
      <w:proofErr w:type="spellEnd"/>
      <w:r w:rsidRPr="00A65D9D">
        <w:rPr>
          <w:rFonts w:ascii="Book Antiqua" w:hAnsi="Book Antiqua" w:cs="Times New Roman"/>
          <w:color w:val="000000"/>
          <w:sz w:val="20"/>
          <w:szCs w:val="20"/>
          <w:u w:val="single"/>
          <w:lang w:val="en-GB"/>
        </w:rPr>
        <w:t xml:space="preserve"> v </w:t>
      </w:r>
      <w:proofErr w:type="spellStart"/>
      <w:r w:rsidRPr="00A65D9D">
        <w:rPr>
          <w:rFonts w:ascii="Book Antiqua" w:hAnsi="Book Antiqua" w:cs="Times New Roman"/>
          <w:color w:val="000000"/>
          <w:sz w:val="20"/>
          <w:szCs w:val="20"/>
          <w:u w:val="single"/>
          <w:lang w:val="en-GB"/>
        </w:rPr>
        <w:t>McA</w:t>
      </w:r>
      <w:proofErr w:type="spellEnd"/>
      <w:r w:rsidRPr="00A65D9D">
        <w:rPr>
          <w:rFonts w:ascii="Book Antiqua" w:hAnsi="Book Antiqua" w:cs="Times New Roman"/>
          <w:color w:val="000000"/>
          <w:sz w:val="20"/>
          <w:szCs w:val="20"/>
          <w:lang w:val="en-GB"/>
        </w:rPr>
        <w:t> [2006] 10 BNIL 63, </w:t>
      </w:r>
      <w:r w:rsidRPr="00A65D9D">
        <w:rPr>
          <w:rFonts w:ascii="Book Antiqua" w:hAnsi="Book Antiqua" w:cs="Times New Roman"/>
          <w:color w:val="000000"/>
          <w:sz w:val="20"/>
          <w:szCs w:val="20"/>
          <w:u w:val="single"/>
          <w:lang w:val="en-GB"/>
        </w:rPr>
        <w:t>Potter v Potter</w:t>
      </w:r>
      <w:r w:rsidRPr="00A65D9D">
        <w:rPr>
          <w:rFonts w:ascii="Book Antiqua" w:hAnsi="Book Antiqua" w:cs="Times New Roman"/>
          <w:color w:val="000000"/>
          <w:sz w:val="20"/>
          <w:szCs w:val="20"/>
          <w:lang w:val="en-GB"/>
        </w:rPr>
        <w:t xml:space="preserve"> [2003] </w:t>
      </w:r>
      <w:proofErr w:type="spellStart"/>
      <w:r w:rsidRPr="00A65D9D">
        <w:rPr>
          <w:rFonts w:ascii="Book Antiqua" w:hAnsi="Book Antiqua" w:cs="Times New Roman"/>
          <w:color w:val="000000"/>
          <w:sz w:val="20"/>
          <w:szCs w:val="20"/>
          <w:lang w:val="en-GB"/>
        </w:rPr>
        <w:t>NIFam</w:t>
      </w:r>
      <w:proofErr w:type="spellEnd"/>
      <w:r w:rsidRPr="00A65D9D">
        <w:rPr>
          <w:rFonts w:ascii="Book Antiqua" w:hAnsi="Book Antiqua" w:cs="Times New Roman"/>
          <w:color w:val="000000"/>
          <w:sz w:val="20"/>
          <w:szCs w:val="20"/>
          <w:lang w:val="en-GB"/>
        </w:rPr>
        <w:t xml:space="preserve"> 2</w:t>
      </w:r>
      <w:proofErr w:type="gramStart"/>
      <w:r w:rsidRPr="00A65D9D">
        <w:rPr>
          <w:rFonts w:ascii="Book Antiqua" w:hAnsi="Book Antiqua" w:cs="Times New Roman"/>
          <w:color w:val="000000"/>
          <w:sz w:val="20"/>
          <w:szCs w:val="20"/>
          <w:lang w:val="en-GB"/>
        </w:rPr>
        <w:t>, </w:t>
      </w:r>
      <w:r w:rsidRPr="00A65D9D">
        <w:rPr>
          <w:rFonts w:ascii="Book Antiqua" w:hAnsi="Book Antiqua" w:cs="Times New Roman"/>
          <w:color w:val="000000"/>
          <w:sz w:val="20"/>
          <w:szCs w:val="20"/>
          <w:u w:val="single"/>
          <w:lang w:val="en-GB"/>
        </w:rPr>
        <w:t> R</w:t>
      </w:r>
      <w:proofErr w:type="gramEnd"/>
      <w:r w:rsidRPr="00A65D9D">
        <w:rPr>
          <w:rFonts w:ascii="Book Antiqua" w:hAnsi="Book Antiqua" w:cs="Times New Roman"/>
          <w:color w:val="000000"/>
          <w:sz w:val="20"/>
          <w:szCs w:val="20"/>
          <w:u w:val="single"/>
          <w:lang w:val="en-GB"/>
        </w:rPr>
        <w:t xml:space="preserve"> v Leicester City Justices, ex parte Barrow</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[1991] 260, </w:t>
      </w:r>
      <w:proofErr w:type="spellStart"/>
      <w:r w:rsidRPr="00A65D9D">
        <w:rPr>
          <w:rFonts w:ascii="Book Antiqua" w:hAnsi="Book Antiqua" w:cs="Times New Roman"/>
          <w:color w:val="000000"/>
          <w:sz w:val="20"/>
          <w:szCs w:val="20"/>
          <w:u w:val="single"/>
          <w:lang w:val="en-GB"/>
        </w:rPr>
        <w:t>Chauhan</w:t>
      </w:r>
      <w:proofErr w:type="spellEnd"/>
      <w:r w:rsidRPr="00A65D9D">
        <w:rPr>
          <w:rFonts w:ascii="Book Antiqua" w:hAnsi="Book Antiqua" w:cs="Times New Roman"/>
          <w:color w:val="000000"/>
          <w:sz w:val="20"/>
          <w:szCs w:val="20"/>
          <w:u w:val="single"/>
          <w:lang w:val="en-GB"/>
        </w:rPr>
        <w:t xml:space="preserve"> v </w:t>
      </w:r>
      <w:proofErr w:type="spellStart"/>
      <w:r w:rsidRPr="00A65D9D">
        <w:rPr>
          <w:rFonts w:ascii="Book Antiqua" w:hAnsi="Book Antiqua" w:cs="Times New Roman"/>
          <w:color w:val="000000"/>
          <w:sz w:val="20"/>
          <w:szCs w:val="20"/>
          <w:u w:val="single"/>
          <w:lang w:val="en-GB"/>
        </w:rPr>
        <w:t>Chauhan</w:t>
      </w:r>
      <w:proofErr w:type="spellEnd"/>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[1997] FCR 206, </w:t>
      </w:r>
      <w:r w:rsidRPr="00A65D9D">
        <w:rPr>
          <w:rFonts w:ascii="Book Antiqua" w:hAnsi="Book Antiqua" w:cs="Times New Roman"/>
          <w:color w:val="000000"/>
          <w:sz w:val="20"/>
          <w:szCs w:val="20"/>
          <w:u w:val="single"/>
          <w:lang w:val="en-GB"/>
        </w:rPr>
        <w:t xml:space="preserve">R v Bow County Court, ex parte </w:t>
      </w:r>
      <w:proofErr w:type="spellStart"/>
      <w:r w:rsidRPr="00A65D9D">
        <w:rPr>
          <w:rFonts w:ascii="Book Antiqua" w:hAnsi="Book Antiqua" w:cs="Times New Roman"/>
          <w:color w:val="000000"/>
          <w:sz w:val="20"/>
          <w:szCs w:val="20"/>
          <w:u w:val="single"/>
          <w:lang w:val="en-GB"/>
        </w:rPr>
        <w:t>Pelling</w:t>
      </w:r>
      <w:proofErr w:type="spellEnd"/>
      <w:r w:rsidRPr="00A65D9D">
        <w:rPr>
          <w:rFonts w:ascii="Book Antiqua" w:hAnsi="Book Antiqua" w:cs="Times New Roman"/>
          <w:color w:val="000000"/>
          <w:sz w:val="20"/>
          <w:szCs w:val="20"/>
          <w:u w:val="single"/>
          <w:lang w:val="en-GB"/>
        </w:rPr>
        <w:t> </w:t>
      </w:r>
      <w:r w:rsidRPr="00A65D9D">
        <w:rPr>
          <w:rFonts w:ascii="Book Antiqua" w:hAnsi="Book Antiqua" w:cs="Times New Roman"/>
          <w:color w:val="000000"/>
          <w:sz w:val="20"/>
          <w:szCs w:val="20"/>
          <w:lang w:val="en-GB"/>
        </w:rPr>
        <w:t>[1999] 1 WLR 1807, </w:t>
      </w:r>
      <w:r w:rsidRPr="00A65D9D">
        <w:rPr>
          <w:rFonts w:ascii="Book Antiqua" w:hAnsi="Book Antiqua" w:cs="Times New Roman"/>
          <w:color w:val="000000"/>
          <w:sz w:val="20"/>
          <w:szCs w:val="20"/>
          <w:u w:val="single"/>
          <w:lang w:val="en-GB"/>
        </w:rPr>
        <w:t>Attorney-General v Purvis</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[2003] EWHC 3190 (Admin), </w:t>
      </w:r>
      <w:r w:rsidRPr="00A65D9D">
        <w:rPr>
          <w:rFonts w:ascii="Book Antiqua" w:hAnsi="Book Antiqua" w:cs="Times New Roman"/>
          <w:color w:val="000000"/>
          <w:sz w:val="20"/>
          <w:szCs w:val="20"/>
          <w:u w:val="single"/>
          <w:lang w:val="en-GB"/>
        </w:rPr>
        <w:t>Clarkson v Gilbert</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[2000] CP Rep 58, </w:t>
      </w:r>
      <w:r w:rsidRPr="00A65D9D">
        <w:rPr>
          <w:rFonts w:ascii="Book Antiqua" w:hAnsi="Book Antiqua" w:cs="Times New Roman"/>
          <w:color w:val="000000"/>
          <w:sz w:val="20"/>
          <w:szCs w:val="20"/>
          <w:u w:val="single"/>
          <w:lang w:val="en-GB"/>
        </w:rPr>
        <w:t xml:space="preserve">United Building and Plumbing Contractors v </w:t>
      </w:r>
      <w:proofErr w:type="spellStart"/>
      <w:r w:rsidRPr="00A65D9D">
        <w:rPr>
          <w:rFonts w:ascii="Book Antiqua" w:hAnsi="Book Antiqua" w:cs="Times New Roman"/>
          <w:color w:val="000000"/>
          <w:sz w:val="20"/>
          <w:szCs w:val="20"/>
          <w:u w:val="single"/>
          <w:lang w:val="en-GB"/>
        </w:rPr>
        <w:t>Kajla</w:t>
      </w:r>
      <w:proofErr w:type="spellEnd"/>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 xml:space="preserve">[2002] EWCA </w:t>
      </w:r>
      <w:proofErr w:type="spellStart"/>
      <w:r w:rsidRPr="00A65D9D">
        <w:rPr>
          <w:rFonts w:ascii="Book Antiqua" w:hAnsi="Book Antiqua" w:cs="Times New Roman"/>
          <w:color w:val="000000"/>
          <w:sz w:val="20"/>
          <w:szCs w:val="20"/>
          <w:lang w:val="en-GB"/>
        </w:rPr>
        <w:t>Civ</w:t>
      </w:r>
      <w:proofErr w:type="spellEnd"/>
      <w:r w:rsidRPr="00A65D9D">
        <w:rPr>
          <w:rFonts w:ascii="Book Antiqua" w:hAnsi="Book Antiqua" w:cs="Times New Roman"/>
          <w:color w:val="000000"/>
          <w:sz w:val="20"/>
          <w:szCs w:val="20"/>
          <w:lang w:val="en-GB"/>
        </w:rPr>
        <w:t xml:space="preserve"> 628, </w:t>
      </w:r>
      <w:r w:rsidRPr="00A65D9D">
        <w:rPr>
          <w:rFonts w:ascii="Book Antiqua" w:hAnsi="Book Antiqua" w:cs="Times New Roman"/>
          <w:color w:val="000000"/>
          <w:sz w:val="20"/>
          <w:szCs w:val="20"/>
          <w:u w:val="single"/>
          <w:lang w:val="en-GB"/>
        </w:rPr>
        <w:t>Re O (Children) (Hearing in Private: Assistance)</w:t>
      </w:r>
      <w:r w:rsidRPr="00A65D9D">
        <w:rPr>
          <w:rFonts w:ascii="Book Antiqua" w:hAnsi="Book Antiqua" w:cs="Times New Roman"/>
          <w:color w:val="000000"/>
          <w:sz w:val="20"/>
          <w:szCs w:val="20"/>
          <w:lang w:val="en-GB"/>
        </w:rPr>
        <w:t> [2005] 3 WLR 1191, </w:t>
      </w:r>
      <w:r w:rsidRPr="00A65D9D">
        <w:rPr>
          <w:rFonts w:ascii="Book Antiqua" w:hAnsi="Book Antiqua" w:cs="Times New Roman"/>
          <w:color w:val="000000"/>
          <w:sz w:val="20"/>
          <w:szCs w:val="20"/>
          <w:u w:val="single"/>
          <w:lang w:val="en-GB"/>
        </w:rPr>
        <w:t>Westland Helicopters Ltd v Sheikh Salah Al-</w:t>
      </w:r>
      <w:proofErr w:type="spellStart"/>
      <w:r w:rsidRPr="00A65D9D">
        <w:rPr>
          <w:rFonts w:ascii="Book Antiqua" w:hAnsi="Book Antiqua" w:cs="Times New Roman"/>
          <w:color w:val="000000"/>
          <w:sz w:val="20"/>
          <w:szCs w:val="20"/>
          <w:u w:val="single"/>
          <w:lang w:val="en-GB"/>
        </w:rPr>
        <w:t>Hejailan</w:t>
      </w:r>
      <w:proofErr w:type="spellEnd"/>
      <w:r w:rsidRPr="00A65D9D">
        <w:rPr>
          <w:rFonts w:ascii="Book Antiqua" w:hAnsi="Book Antiqua" w:cs="Times New Roman"/>
          <w:color w:val="000000"/>
          <w:sz w:val="20"/>
          <w:szCs w:val="20"/>
          <w:u w:val="single"/>
          <w:lang w:val="en-GB"/>
        </w:rPr>
        <w:t xml:space="preserve"> (No 2)</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[2004] 2 Lloyd’s Rep 535</w:t>
      </w:r>
      <w:r w:rsidRPr="00A65D9D">
        <w:rPr>
          <w:rFonts w:ascii="Book Antiqua" w:hAnsi="Book Antiqua" w:cs="Times New Roman"/>
          <w:i/>
          <w:iCs/>
          <w:color w:val="000000"/>
          <w:sz w:val="20"/>
          <w:szCs w:val="20"/>
          <w:u w:val="single"/>
          <w:lang w:val="en-GB"/>
        </w:rPr>
        <w:t>. </w:t>
      </w:r>
      <w:proofErr w:type="gramStart"/>
      <w:r w:rsidRPr="00A65D9D">
        <w:rPr>
          <w:rFonts w:ascii="Book Antiqua" w:hAnsi="Book Antiqua" w:cs="Times New Roman"/>
          <w:color w:val="000000"/>
          <w:sz w:val="20"/>
          <w:szCs w:val="20"/>
          <w:u w:val="single"/>
          <w:lang w:val="en-GB"/>
        </w:rPr>
        <w:t>Agassi v Robinson (Inspector of Taxes) (No 2)</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[2006] 1 WLR 2126, </w:t>
      </w:r>
      <w:r w:rsidRPr="00A65D9D">
        <w:rPr>
          <w:rFonts w:ascii="Book Antiqua" w:hAnsi="Book Antiqua" w:cs="Times New Roman"/>
          <w:color w:val="000000"/>
          <w:sz w:val="20"/>
          <w:szCs w:val="20"/>
          <w:u w:val="single"/>
          <w:lang w:val="en-GB"/>
        </w:rPr>
        <w:t>Re N (A Child) (McKenzie Friend: Rights of Audience) Practice Note</w:t>
      </w:r>
      <w:r w:rsidRPr="00A65D9D">
        <w:rPr>
          <w:rFonts w:ascii="Book Antiqua" w:hAnsi="Book Antiqua" w:cs="Times New Roman"/>
          <w:i/>
          <w:iCs/>
          <w:color w:val="000000"/>
          <w:sz w:val="20"/>
          <w:szCs w:val="20"/>
          <w:lang w:val="en-GB"/>
        </w:rPr>
        <w:t> </w:t>
      </w:r>
      <w:r w:rsidRPr="00A65D9D">
        <w:rPr>
          <w:rFonts w:ascii="Book Antiqua" w:hAnsi="Book Antiqua" w:cs="Times New Roman"/>
          <w:color w:val="000000"/>
          <w:sz w:val="20"/>
          <w:szCs w:val="20"/>
          <w:lang w:val="en-GB"/>
        </w:rPr>
        <w:t>[2008] 1 WLR 2743.</w:t>
      </w:r>
      <w:proofErr w:type="gramEnd"/>
      <w:r w:rsidRPr="00A65D9D">
        <w:rPr>
          <w:rFonts w:ascii="Book Antiqua" w:hAnsi="Book Antiqua" w:cs="Times New Roman"/>
          <w:color w:val="000000"/>
          <w:sz w:val="20"/>
          <w:szCs w:val="20"/>
          <w:lang w:val="en-GB"/>
        </w:rPr>
        <w:t> </w:t>
      </w:r>
    </w:p>
    <w:p w:rsidR="00A65D9D" w:rsidRPr="00A65D9D" w:rsidRDefault="00A65D9D" w:rsidP="00A65D9D">
      <w:pPr>
        <w:rPr>
          <w:rFonts w:cs="Times New Roman"/>
          <w:color w:val="000000"/>
          <w:sz w:val="20"/>
          <w:szCs w:val="20"/>
          <w:lang w:val="en-GB"/>
        </w:rPr>
      </w:pPr>
      <w:r w:rsidRPr="00A65D9D">
        <w:rPr>
          <w:rFonts w:cs="Times New Roman"/>
          <w:color w:val="000000"/>
          <w:sz w:val="20"/>
          <w:szCs w:val="20"/>
          <w:lang w:val="en-GB"/>
        </w:rPr>
        <w:t> </w:t>
      </w:r>
    </w:p>
    <w:bookmarkStart w:id="5" w:name="_ftn2"/>
    <w:p w:rsidR="00A65D9D" w:rsidRPr="00A65D9D" w:rsidRDefault="00A65D9D" w:rsidP="00A65D9D">
      <w:pPr>
        <w:rPr>
          <w:rFonts w:cs="Times New Roman"/>
          <w:color w:val="000000"/>
          <w:sz w:val="20"/>
          <w:szCs w:val="20"/>
          <w:lang w:val="en-GB"/>
        </w:rPr>
      </w:pPr>
      <w:r w:rsidRPr="00A65D9D">
        <w:rPr>
          <w:rFonts w:cs="Times New Roman"/>
          <w:color w:val="000000"/>
          <w:sz w:val="20"/>
          <w:szCs w:val="20"/>
          <w:lang w:val="en-GB"/>
        </w:rPr>
        <w:fldChar w:fldCharType="begin"/>
      </w:r>
      <w:r w:rsidRPr="00A65D9D">
        <w:rPr>
          <w:rFonts w:cs="Times New Roman"/>
          <w:color w:val="000000"/>
          <w:sz w:val="20"/>
          <w:szCs w:val="20"/>
          <w:lang w:val="en-GB"/>
        </w:rPr>
        <w:instrText xml:space="preserve"> HYPERLINK "http://www.courtsni.gov.uk/en-gb/judicial%20decisions/practice%20directions/documents/practice%20note%2003-12/practice%20note%2003-12.htm" \l "_ftnref2" \o "" </w:instrText>
      </w:r>
      <w:r w:rsidRPr="00A65D9D">
        <w:rPr>
          <w:rFonts w:cs="Times New Roman"/>
          <w:color w:val="000000"/>
          <w:sz w:val="20"/>
          <w:szCs w:val="20"/>
          <w:lang w:val="en-GB"/>
        </w:rPr>
      </w:r>
      <w:r w:rsidRPr="00A65D9D">
        <w:rPr>
          <w:rFonts w:cs="Times New Roman"/>
          <w:color w:val="000000"/>
          <w:sz w:val="20"/>
          <w:szCs w:val="20"/>
          <w:lang w:val="en-GB"/>
        </w:rPr>
        <w:fldChar w:fldCharType="separate"/>
      </w:r>
      <w:r w:rsidRPr="00A65D9D">
        <w:rPr>
          <w:rFonts w:cs="Times New Roman"/>
          <w:color w:val="0000FF"/>
          <w:sz w:val="20"/>
          <w:szCs w:val="20"/>
          <w:u w:val="single"/>
          <w:vertAlign w:val="superscript"/>
          <w:lang w:val="en-GB"/>
        </w:rPr>
        <w:t>[2]</w:t>
      </w:r>
      <w:r w:rsidRPr="00A65D9D">
        <w:rPr>
          <w:rFonts w:cs="Times New Roman"/>
          <w:color w:val="000000"/>
          <w:sz w:val="20"/>
          <w:szCs w:val="20"/>
          <w:lang w:val="en-GB"/>
        </w:rPr>
        <w:fldChar w:fldCharType="end"/>
      </w:r>
      <w:bookmarkEnd w:id="5"/>
      <w:r w:rsidRPr="00A65D9D">
        <w:rPr>
          <w:rFonts w:cs="Times New Roman"/>
          <w:color w:val="000000"/>
          <w:sz w:val="20"/>
          <w:szCs w:val="20"/>
          <w:lang w:val="en-GB"/>
        </w:rPr>
        <w:t> </w:t>
      </w:r>
      <w:r w:rsidRPr="00A65D9D">
        <w:rPr>
          <w:rFonts w:ascii="Book Antiqua" w:hAnsi="Book Antiqua" w:cs="Times New Roman"/>
          <w:color w:val="000000"/>
          <w:sz w:val="20"/>
          <w:szCs w:val="20"/>
          <w:lang w:val="en-GB"/>
        </w:rPr>
        <w:t xml:space="preserve">Master </w:t>
      </w:r>
      <w:proofErr w:type="spellStart"/>
      <w:r w:rsidRPr="00A65D9D">
        <w:rPr>
          <w:rFonts w:ascii="Book Antiqua" w:hAnsi="Book Antiqua" w:cs="Times New Roman"/>
          <w:color w:val="000000"/>
          <w:sz w:val="20"/>
          <w:szCs w:val="20"/>
          <w:lang w:val="en-GB"/>
        </w:rPr>
        <w:t>Redpath</w:t>
      </w:r>
      <w:proofErr w:type="spellEnd"/>
      <w:r w:rsidRPr="00A65D9D">
        <w:rPr>
          <w:rFonts w:ascii="Book Antiqua" w:hAnsi="Book Antiqua" w:cs="Times New Roman"/>
          <w:color w:val="000000"/>
          <w:sz w:val="20"/>
          <w:szCs w:val="20"/>
          <w:lang w:val="en-GB"/>
        </w:rPr>
        <w:t xml:space="preserve"> stated that the principles used in English statute should be applied here. They were originally contained in sections 27 and 28 of the Courts and Legal Services Act 1990, but now see Part III and Schedule 3 of the Legal Services Act 2007, which replicates the court’s general discretion to grant a right of audience or right to conduct litigation in particular proceedings. The factors set out in this Practice Note will be relevant to the exercise of this discretion.</w:t>
      </w:r>
    </w:p>
    <w:bookmarkStart w:id="6" w:name="_ftn3"/>
    <w:p w:rsidR="00A65D9D" w:rsidRPr="00A65D9D" w:rsidRDefault="00A65D9D" w:rsidP="00A65D9D">
      <w:pPr>
        <w:rPr>
          <w:rFonts w:cs="Times New Roman"/>
          <w:color w:val="000000"/>
          <w:sz w:val="20"/>
          <w:szCs w:val="20"/>
          <w:lang w:val="en-GB"/>
        </w:rPr>
      </w:pPr>
      <w:r w:rsidRPr="00A65D9D">
        <w:rPr>
          <w:rFonts w:cs="Times New Roman"/>
          <w:color w:val="000000"/>
          <w:sz w:val="20"/>
          <w:szCs w:val="20"/>
          <w:lang w:val="en-GB"/>
        </w:rPr>
        <w:fldChar w:fldCharType="begin"/>
      </w:r>
      <w:r w:rsidRPr="00A65D9D">
        <w:rPr>
          <w:rFonts w:cs="Times New Roman"/>
          <w:color w:val="000000"/>
          <w:sz w:val="20"/>
          <w:szCs w:val="20"/>
          <w:lang w:val="en-GB"/>
        </w:rPr>
        <w:instrText xml:space="preserve"> HYPERLINK "http://www.courtsni.gov.uk/en-gb/judicial%20decisions/practice%20directions/documents/practice%20note%2003-12/practice%20note%2003-12.htm" \l "_ftnref3" \o "" </w:instrText>
      </w:r>
      <w:r w:rsidRPr="00A65D9D">
        <w:rPr>
          <w:rFonts w:cs="Times New Roman"/>
          <w:color w:val="000000"/>
          <w:sz w:val="20"/>
          <w:szCs w:val="20"/>
          <w:lang w:val="en-GB"/>
        </w:rPr>
      </w:r>
      <w:r w:rsidRPr="00A65D9D">
        <w:rPr>
          <w:rFonts w:cs="Times New Roman"/>
          <w:color w:val="000000"/>
          <w:sz w:val="20"/>
          <w:szCs w:val="20"/>
          <w:lang w:val="en-GB"/>
        </w:rPr>
        <w:fldChar w:fldCharType="separate"/>
      </w:r>
      <w:r w:rsidRPr="00A65D9D">
        <w:rPr>
          <w:rFonts w:cs="Times New Roman"/>
          <w:color w:val="0000FF"/>
          <w:sz w:val="20"/>
          <w:szCs w:val="20"/>
          <w:u w:val="single"/>
          <w:vertAlign w:val="superscript"/>
          <w:lang w:val="en-GB"/>
        </w:rPr>
        <w:t>[3]</w:t>
      </w:r>
      <w:r w:rsidRPr="00A65D9D">
        <w:rPr>
          <w:rFonts w:cs="Times New Roman"/>
          <w:color w:val="000000"/>
          <w:sz w:val="20"/>
          <w:szCs w:val="20"/>
          <w:lang w:val="en-GB"/>
        </w:rPr>
        <w:fldChar w:fldCharType="end"/>
      </w:r>
      <w:bookmarkEnd w:id="6"/>
      <w:r w:rsidRPr="00A65D9D">
        <w:rPr>
          <w:rFonts w:cs="Times New Roman"/>
          <w:color w:val="000000"/>
          <w:sz w:val="20"/>
          <w:szCs w:val="20"/>
          <w:lang w:val="en-GB"/>
        </w:rPr>
        <w:t> </w:t>
      </w:r>
      <w:r w:rsidRPr="00A65D9D">
        <w:rPr>
          <w:rFonts w:ascii="Book Antiqua" w:hAnsi="Book Antiqua" w:cs="Times New Roman"/>
          <w:color w:val="000000"/>
          <w:sz w:val="20"/>
          <w:szCs w:val="20"/>
          <w:lang w:val="en-GB"/>
        </w:rPr>
        <w:t xml:space="preserve">To avoid </w:t>
      </w:r>
      <w:proofErr w:type="gramStart"/>
      <w:r w:rsidRPr="00A65D9D">
        <w:rPr>
          <w:rFonts w:ascii="Book Antiqua" w:hAnsi="Book Antiqua" w:cs="Times New Roman"/>
          <w:color w:val="000000"/>
          <w:sz w:val="20"/>
          <w:szCs w:val="20"/>
          <w:lang w:val="en-GB"/>
        </w:rPr>
        <w:t>contravening</w:t>
      </w:r>
      <w:r w:rsidRPr="00A65D9D">
        <w:rPr>
          <w:rFonts w:ascii="Book Antiqua" w:hAnsi="Book Antiqua" w:cs="Times New Roman"/>
          <w:color w:val="FF0000"/>
          <w:sz w:val="20"/>
          <w:szCs w:val="20"/>
          <w:lang w:val="en-GB"/>
        </w:rPr>
        <w:t> </w:t>
      </w:r>
      <w:r w:rsidRPr="00A65D9D">
        <w:rPr>
          <w:rFonts w:cs="Times New Roman"/>
          <w:color w:val="000000"/>
          <w:sz w:val="20"/>
          <w:szCs w:val="20"/>
          <w:lang w:val="en-GB"/>
        </w:rPr>
        <w:t> s</w:t>
      </w:r>
      <w:proofErr w:type="gramEnd"/>
      <w:r w:rsidRPr="00A65D9D">
        <w:rPr>
          <w:rFonts w:cs="Times New Roman"/>
          <w:color w:val="000000"/>
          <w:sz w:val="20"/>
          <w:szCs w:val="20"/>
          <w:lang w:val="en-GB"/>
        </w:rPr>
        <w:t>. 12 and Schedule 2 Part II of the Administration of Justice Act 1960 and, Art. 10 (2) of the Children (NI) Order 1995</w:t>
      </w:r>
    </w:p>
    <w:p w:rsidR="000672C7" w:rsidRDefault="000672C7"/>
    <w:sectPr w:rsidR="000672C7"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9D"/>
    <w:rsid w:val="000672C7"/>
    <w:rsid w:val="00A65D9D"/>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65D9D"/>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A65D9D"/>
  </w:style>
  <w:style w:type="character" w:styleId="FootnoteReference">
    <w:name w:val="footnote reference"/>
    <w:basedOn w:val="DefaultParagraphFont"/>
    <w:uiPriority w:val="99"/>
    <w:semiHidden/>
    <w:unhideWhenUsed/>
    <w:rsid w:val="00A65D9D"/>
  </w:style>
  <w:style w:type="paragraph" w:styleId="FootnoteText">
    <w:name w:val="footnote text"/>
    <w:basedOn w:val="Normal"/>
    <w:link w:val="FootnoteTextChar"/>
    <w:uiPriority w:val="99"/>
    <w:semiHidden/>
    <w:unhideWhenUsed/>
    <w:rsid w:val="00A65D9D"/>
    <w:pPr>
      <w:spacing w:before="100" w:beforeAutospacing="1" w:after="100" w:afterAutospacing="1"/>
    </w:pPr>
    <w:rPr>
      <w:rFonts w:ascii="Times" w:hAnsi="Times"/>
      <w:sz w:val="20"/>
      <w:szCs w:val="20"/>
      <w:lang w:val="en-GB"/>
    </w:rPr>
  </w:style>
  <w:style w:type="character" w:customStyle="1" w:styleId="FootnoteTextChar">
    <w:name w:val="Footnote Text Char"/>
    <w:basedOn w:val="DefaultParagraphFont"/>
    <w:link w:val="FootnoteText"/>
    <w:uiPriority w:val="99"/>
    <w:semiHidden/>
    <w:rsid w:val="00A65D9D"/>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65D9D"/>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A65D9D"/>
  </w:style>
  <w:style w:type="character" w:styleId="FootnoteReference">
    <w:name w:val="footnote reference"/>
    <w:basedOn w:val="DefaultParagraphFont"/>
    <w:uiPriority w:val="99"/>
    <w:semiHidden/>
    <w:unhideWhenUsed/>
    <w:rsid w:val="00A65D9D"/>
  </w:style>
  <w:style w:type="paragraph" w:styleId="FootnoteText">
    <w:name w:val="footnote text"/>
    <w:basedOn w:val="Normal"/>
    <w:link w:val="FootnoteTextChar"/>
    <w:uiPriority w:val="99"/>
    <w:semiHidden/>
    <w:unhideWhenUsed/>
    <w:rsid w:val="00A65D9D"/>
    <w:pPr>
      <w:spacing w:before="100" w:beforeAutospacing="1" w:after="100" w:afterAutospacing="1"/>
    </w:pPr>
    <w:rPr>
      <w:rFonts w:ascii="Times" w:hAnsi="Times"/>
      <w:sz w:val="20"/>
      <w:szCs w:val="20"/>
      <w:lang w:val="en-GB"/>
    </w:rPr>
  </w:style>
  <w:style w:type="character" w:customStyle="1" w:styleId="FootnoteTextChar">
    <w:name w:val="Footnote Text Char"/>
    <w:basedOn w:val="DefaultParagraphFont"/>
    <w:link w:val="FootnoteText"/>
    <w:uiPriority w:val="99"/>
    <w:semiHidden/>
    <w:rsid w:val="00A65D9D"/>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8517">
      <w:bodyDiv w:val="1"/>
      <w:marLeft w:val="0"/>
      <w:marRight w:val="0"/>
      <w:marTop w:val="0"/>
      <w:marBottom w:val="0"/>
      <w:divBdr>
        <w:top w:val="none" w:sz="0" w:space="0" w:color="auto"/>
        <w:left w:val="none" w:sz="0" w:space="0" w:color="auto"/>
        <w:bottom w:val="none" w:sz="0" w:space="0" w:color="auto"/>
        <w:right w:val="none" w:sz="0" w:space="0" w:color="auto"/>
      </w:divBdr>
      <w:divsChild>
        <w:div w:id="750395323">
          <w:marLeft w:val="0"/>
          <w:marRight w:val="0"/>
          <w:marTop w:val="0"/>
          <w:marBottom w:val="0"/>
          <w:divBdr>
            <w:top w:val="none" w:sz="0" w:space="0" w:color="auto"/>
            <w:left w:val="none" w:sz="0" w:space="0" w:color="auto"/>
            <w:bottom w:val="none" w:sz="0" w:space="0" w:color="auto"/>
            <w:right w:val="none" w:sz="0" w:space="0" w:color="auto"/>
          </w:divBdr>
          <w:divsChild>
            <w:div w:id="416368963">
              <w:marLeft w:val="0"/>
              <w:marRight w:val="0"/>
              <w:marTop w:val="0"/>
              <w:marBottom w:val="0"/>
              <w:divBdr>
                <w:top w:val="none" w:sz="0" w:space="0" w:color="auto"/>
                <w:left w:val="none" w:sz="0" w:space="0" w:color="auto"/>
                <w:bottom w:val="none" w:sz="0" w:space="0" w:color="auto"/>
                <w:right w:val="none" w:sz="0" w:space="0" w:color="auto"/>
              </w:divBdr>
            </w:div>
            <w:div w:id="459079911">
              <w:marLeft w:val="0"/>
              <w:marRight w:val="0"/>
              <w:marTop w:val="0"/>
              <w:marBottom w:val="0"/>
              <w:divBdr>
                <w:top w:val="none" w:sz="0" w:space="0" w:color="auto"/>
                <w:left w:val="none" w:sz="0" w:space="0" w:color="auto"/>
                <w:bottom w:val="none" w:sz="0" w:space="0" w:color="auto"/>
                <w:right w:val="none" w:sz="0" w:space="0" w:color="auto"/>
              </w:divBdr>
            </w:div>
            <w:div w:id="8812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1959</Words>
  <Characters>11171</Characters>
  <Application>Microsoft Macintosh Word</Application>
  <DocSecurity>0</DocSecurity>
  <Lines>93</Lines>
  <Paragraphs>26</Paragraphs>
  <ScaleCrop>false</ScaleCrop>
  <Company>consultancy</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2017-04-09T19:37:00Z</dcterms:created>
  <dcterms:modified xsi:type="dcterms:W3CDTF">2017-04-09T19:38:00Z</dcterms:modified>
</cp:coreProperties>
</file>