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AFF" w:rsidRPr="0063364E" w:rsidRDefault="0063364E">
      <w:pPr>
        <w:rPr>
          <w:b/>
          <w:sz w:val="24"/>
          <w:szCs w:val="24"/>
        </w:rPr>
      </w:pPr>
      <w:r w:rsidRPr="0063364E">
        <w:rPr>
          <w:b/>
          <w:sz w:val="24"/>
          <w:szCs w:val="24"/>
        </w:rPr>
        <w:t xml:space="preserve">             </w:t>
      </w:r>
      <w:r w:rsidR="001B11D5" w:rsidRPr="0063364E">
        <w:rPr>
          <w:b/>
          <w:sz w:val="24"/>
          <w:szCs w:val="24"/>
        </w:rPr>
        <w:t>The rates scam, how Land and Property Services works with the banks</w:t>
      </w:r>
    </w:p>
    <w:p w:rsidR="001B11D5" w:rsidRPr="00A219E6" w:rsidRDefault="001B11D5">
      <w:pPr>
        <w:rPr>
          <w:sz w:val="24"/>
          <w:szCs w:val="24"/>
        </w:rPr>
      </w:pPr>
    </w:p>
    <w:p w:rsidR="001B11D5" w:rsidRPr="00A219E6" w:rsidRDefault="001B11D5">
      <w:pPr>
        <w:rPr>
          <w:sz w:val="24"/>
          <w:szCs w:val="24"/>
        </w:rPr>
      </w:pPr>
    </w:p>
    <w:p w:rsidR="001B11D5" w:rsidRPr="00A219E6" w:rsidRDefault="00461B90">
      <w:pPr>
        <w:rPr>
          <w:sz w:val="24"/>
          <w:szCs w:val="24"/>
        </w:rPr>
      </w:pPr>
      <w:r w:rsidRPr="00A219E6">
        <w:rPr>
          <w:sz w:val="24"/>
          <w:szCs w:val="24"/>
        </w:rPr>
        <w:t>Land and Property Services [“LPS”] is the part of the Department of Finance which collects the rates from the public.</w:t>
      </w:r>
    </w:p>
    <w:p w:rsidR="00461B90" w:rsidRPr="00A219E6" w:rsidRDefault="00461B90">
      <w:pPr>
        <w:rPr>
          <w:sz w:val="24"/>
          <w:szCs w:val="24"/>
        </w:rPr>
      </w:pPr>
    </w:p>
    <w:p w:rsidR="00461B90" w:rsidRPr="00A219E6" w:rsidRDefault="00461B90">
      <w:pPr>
        <w:rPr>
          <w:sz w:val="24"/>
          <w:szCs w:val="24"/>
        </w:rPr>
      </w:pPr>
      <w:r w:rsidRPr="00A219E6">
        <w:rPr>
          <w:sz w:val="24"/>
          <w:szCs w:val="24"/>
        </w:rPr>
        <w:t xml:space="preserve">Some years ago, a change was made and vacant properties were no longer exempt from rates. It was enacted in Article 25A of the </w:t>
      </w:r>
      <w:proofErr w:type="gramStart"/>
      <w:r w:rsidRPr="00A219E6">
        <w:rPr>
          <w:sz w:val="24"/>
          <w:szCs w:val="24"/>
        </w:rPr>
        <w:t>Rates  [</w:t>
      </w:r>
      <w:proofErr w:type="gramEnd"/>
      <w:r w:rsidRPr="00A219E6">
        <w:rPr>
          <w:sz w:val="24"/>
          <w:szCs w:val="24"/>
        </w:rPr>
        <w:t>Northern Ireland]  Order 1977. Here it is:</w:t>
      </w:r>
    </w:p>
    <w:p w:rsidR="00461B90" w:rsidRDefault="00461B90"/>
    <w:p w:rsidR="00461B90" w:rsidRPr="00A219E6" w:rsidRDefault="00461B90" w:rsidP="00461B90">
      <w:pPr>
        <w:autoSpaceDE w:val="0"/>
        <w:autoSpaceDN w:val="0"/>
        <w:adjustRightInd w:val="0"/>
        <w:jc w:val="both"/>
        <w:rPr>
          <w:rFonts w:ascii="Arial" w:hAnsi="Arial" w:cs="Arial"/>
          <w:b/>
          <w:bCs/>
          <w:color w:val="auto"/>
          <w:sz w:val="16"/>
          <w:szCs w:val="16"/>
          <w:lang w:val="en-US"/>
        </w:rPr>
      </w:pPr>
      <w:r w:rsidRPr="00A219E6">
        <w:rPr>
          <w:rFonts w:ascii="Arial" w:hAnsi="Arial" w:cs="Arial"/>
          <w:b/>
          <w:bCs/>
          <w:color w:val="3A3B3D"/>
          <w:sz w:val="16"/>
          <w:szCs w:val="16"/>
          <w:lang w:val="en-US"/>
        </w:rPr>
        <w:t>[F1Liability to be rated in respect of certain unoccupied hereditaments</w:t>
      </w:r>
    </w:p>
    <w:p w:rsidR="00461B90" w:rsidRPr="00A219E6" w:rsidRDefault="00461B90" w:rsidP="00461B90">
      <w:pPr>
        <w:autoSpaceDE w:val="0"/>
        <w:autoSpaceDN w:val="0"/>
        <w:adjustRightInd w:val="0"/>
        <w:rPr>
          <w:rFonts w:ascii="Arial" w:hAnsi="Arial" w:cs="Arial"/>
          <w:color w:val="393939"/>
          <w:sz w:val="16"/>
          <w:szCs w:val="16"/>
          <w:lang w:val="en-US"/>
        </w:rPr>
      </w:pPr>
      <w:r w:rsidRPr="00A219E6">
        <w:rPr>
          <w:rFonts w:ascii="Arial" w:hAnsi="Arial" w:cs="Arial"/>
          <w:b/>
          <w:bCs/>
          <w:color w:val="393939"/>
          <w:sz w:val="16"/>
          <w:szCs w:val="16"/>
          <w:lang w:val="en-US"/>
        </w:rPr>
        <w:t>25A.</w:t>
      </w:r>
      <w:proofErr w:type="gramStart"/>
      <w:r w:rsidRPr="00A219E6">
        <w:rPr>
          <w:rFonts w:ascii="Arial" w:hAnsi="Arial" w:cs="Arial"/>
          <w:color w:val="393939"/>
          <w:sz w:val="16"/>
          <w:szCs w:val="16"/>
          <w:lang w:val="en-US"/>
        </w:rPr>
        <w:t>—(</w:t>
      </w:r>
      <w:proofErr w:type="gramEnd"/>
      <w:r w:rsidRPr="00A219E6">
        <w:rPr>
          <w:rFonts w:ascii="Arial" w:hAnsi="Arial" w:cs="Arial"/>
          <w:color w:val="393939"/>
          <w:sz w:val="16"/>
          <w:szCs w:val="16"/>
          <w:lang w:val="en-US"/>
        </w:rPr>
        <w:t>1) Subject to the provisions of this Order, if the conditions specified in paragraph (2) are satisfied a person shall be chargeable to rates in respect of a hereditament which is unoccupied.</w:t>
      </w:r>
    </w:p>
    <w:p w:rsidR="00461B90" w:rsidRPr="00A219E6" w:rsidRDefault="00461B90" w:rsidP="00461B90">
      <w:pPr>
        <w:autoSpaceDE w:val="0"/>
        <w:autoSpaceDN w:val="0"/>
        <w:adjustRightInd w:val="0"/>
        <w:ind w:firstLine="240"/>
        <w:jc w:val="both"/>
        <w:rPr>
          <w:rFonts w:ascii="Arial" w:hAnsi="Arial" w:cs="Arial"/>
          <w:color w:val="393939"/>
          <w:sz w:val="16"/>
          <w:szCs w:val="16"/>
          <w:lang w:val="en-US"/>
        </w:rPr>
      </w:pPr>
      <w:r w:rsidRPr="00A219E6">
        <w:rPr>
          <w:rFonts w:ascii="Arial" w:hAnsi="Arial" w:cs="Arial"/>
          <w:color w:val="393939"/>
          <w:sz w:val="16"/>
          <w:szCs w:val="16"/>
          <w:lang w:val="en-US"/>
        </w:rPr>
        <w:t>(2) The conditions are—</w:t>
      </w:r>
    </w:p>
    <w:p w:rsidR="00461B90" w:rsidRPr="00A219E6" w:rsidRDefault="00461B90" w:rsidP="00461B90">
      <w:pPr>
        <w:autoSpaceDE w:val="0"/>
        <w:autoSpaceDN w:val="0"/>
        <w:adjustRightInd w:val="0"/>
        <w:rPr>
          <w:rFonts w:ascii="Arial" w:hAnsi="Arial" w:cs="Arial"/>
          <w:color w:val="393939"/>
          <w:sz w:val="16"/>
          <w:szCs w:val="16"/>
          <w:lang w:val="en-US"/>
        </w:rPr>
      </w:pPr>
      <w:r w:rsidRPr="00A219E6">
        <w:rPr>
          <w:rFonts w:ascii="Arial" w:hAnsi="Arial" w:cs="Arial"/>
          <w:color w:val="393939"/>
          <w:sz w:val="16"/>
          <w:szCs w:val="16"/>
          <w:lang w:val="en-US"/>
        </w:rPr>
        <w:t>(a) the hereditament is one to which Schedule 8A applies; and</w:t>
      </w:r>
    </w:p>
    <w:p w:rsidR="00461B90" w:rsidRPr="00A219E6" w:rsidRDefault="00461B90" w:rsidP="00461B90">
      <w:pPr>
        <w:autoSpaceDE w:val="0"/>
        <w:autoSpaceDN w:val="0"/>
        <w:adjustRightInd w:val="0"/>
        <w:rPr>
          <w:rFonts w:ascii="Arial" w:hAnsi="Arial" w:cs="Arial"/>
          <w:color w:val="393939"/>
          <w:sz w:val="16"/>
          <w:szCs w:val="16"/>
          <w:lang w:val="en-US"/>
        </w:rPr>
      </w:pPr>
      <w:r w:rsidRPr="00A219E6">
        <w:rPr>
          <w:rFonts w:ascii="Arial" w:hAnsi="Arial" w:cs="Arial"/>
          <w:color w:val="393939"/>
          <w:sz w:val="16"/>
          <w:szCs w:val="16"/>
          <w:lang w:val="en-US"/>
        </w:rPr>
        <w:t>(b)the person is entitled to possession of it.</w:t>
      </w:r>
    </w:p>
    <w:p w:rsidR="00461B90" w:rsidRPr="00A219E6" w:rsidRDefault="00461B90" w:rsidP="00461B90">
      <w:pPr>
        <w:autoSpaceDE w:val="0"/>
        <w:autoSpaceDN w:val="0"/>
        <w:adjustRightInd w:val="0"/>
        <w:ind w:firstLine="240"/>
        <w:jc w:val="both"/>
        <w:rPr>
          <w:rFonts w:ascii="Arial" w:hAnsi="Arial" w:cs="Arial"/>
          <w:color w:val="393939"/>
          <w:sz w:val="16"/>
          <w:szCs w:val="16"/>
          <w:lang w:val="en-US"/>
        </w:rPr>
      </w:pPr>
      <w:r w:rsidRPr="00A219E6">
        <w:rPr>
          <w:rFonts w:ascii="Arial" w:hAnsi="Arial" w:cs="Arial"/>
          <w:color w:val="393939"/>
          <w:sz w:val="16"/>
          <w:szCs w:val="16"/>
          <w:lang w:val="en-US"/>
        </w:rPr>
        <w:t>(3) A person shall be chargeable to rates under this Article only in respect of a period during which—</w:t>
      </w:r>
    </w:p>
    <w:p w:rsidR="0063364E" w:rsidRDefault="00461B90" w:rsidP="0063364E">
      <w:pPr>
        <w:autoSpaceDE w:val="0"/>
        <w:autoSpaceDN w:val="0"/>
        <w:adjustRightInd w:val="0"/>
        <w:rPr>
          <w:rFonts w:ascii="Arial" w:hAnsi="Arial" w:cs="Arial"/>
          <w:color w:val="393939"/>
          <w:sz w:val="16"/>
          <w:szCs w:val="16"/>
          <w:lang w:val="en-US"/>
        </w:rPr>
      </w:pPr>
      <w:r w:rsidRPr="00A219E6">
        <w:rPr>
          <w:rFonts w:ascii="Arial" w:hAnsi="Arial" w:cs="Arial"/>
          <w:color w:val="393939"/>
          <w:sz w:val="16"/>
          <w:szCs w:val="16"/>
          <w:lang w:val="en-US"/>
        </w:rPr>
        <w:t>(a)the</w:t>
      </w:r>
      <w:r w:rsidR="0063364E">
        <w:rPr>
          <w:rFonts w:ascii="Arial" w:hAnsi="Arial" w:cs="Arial"/>
          <w:color w:val="393939"/>
          <w:sz w:val="16"/>
          <w:szCs w:val="16"/>
          <w:lang w:val="en-US"/>
        </w:rPr>
        <w:t xml:space="preserve"> hereditament is unoccupied, and</w:t>
      </w:r>
    </w:p>
    <w:p w:rsidR="00461B90" w:rsidRPr="00A219E6" w:rsidRDefault="00461B90" w:rsidP="0063364E">
      <w:pPr>
        <w:autoSpaceDE w:val="0"/>
        <w:autoSpaceDN w:val="0"/>
        <w:adjustRightInd w:val="0"/>
        <w:rPr>
          <w:rFonts w:ascii="Arial" w:hAnsi="Arial" w:cs="Arial"/>
          <w:color w:val="393939"/>
          <w:sz w:val="16"/>
          <w:szCs w:val="16"/>
          <w:lang w:val="en-US"/>
        </w:rPr>
      </w:pPr>
      <w:r w:rsidRPr="00A219E6">
        <w:rPr>
          <w:rFonts w:ascii="Arial" w:hAnsi="Arial" w:cs="Arial"/>
          <w:color w:val="393939"/>
          <w:sz w:val="16"/>
          <w:szCs w:val="16"/>
          <w:lang w:val="en-US"/>
        </w:rPr>
        <w:t>(b)</w:t>
      </w:r>
    </w:p>
    <w:p w:rsidR="00461B90" w:rsidRPr="00A219E6" w:rsidRDefault="00461B90" w:rsidP="00461B90">
      <w:pPr>
        <w:autoSpaceDE w:val="0"/>
        <w:autoSpaceDN w:val="0"/>
        <w:adjustRightInd w:val="0"/>
        <w:jc w:val="both"/>
        <w:rPr>
          <w:rFonts w:ascii="Arial" w:hAnsi="Arial" w:cs="Arial"/>
          <w:color w:val="393939"/>
          <w:sz w:val="16"/>
          <w:szCs w:val="16"/>
          <w:lang w:val="en-US"/>
        </w:rPr>
      </w:pPr>
      <w:r w:rsidRPr="00A219E6">
        <w:rPr>
          <w:rFonts w:ascii="Arial" w:hAnsi="Arial" w:cs="Arial"/>
          <w:color w:val="393939"/>
          <w:sz w:val="16"/>
          <w:szCs w:val="16"/>
          <w:lang w:val="en-US"/>
        </w:rPr>
        <w:t>both the conditions specified in paragraph (2) are satisfied.</w:t>
      </w:r>
    </w:p>
    <w:p w:rsidR="00461B90" w:rsidRPr="00A219E6" w:rsidRDefault="00461B90" w:rsidP="00461B90">
      <w:pPr>
        <w:autoSpaceDE w:val="0"/>
        <w:autoSpaceDN w:val="0"/>
        <w:adjustRightInd w:val="0"/>
        <w:ind w:firstLine="240"/>
        <w:jc w:val="both"/>
        <w:rPr>
          <w:rFonts w:ascii="Arial" w:hAnsi="Arial" w:cs="Arial"/>
          <w:color w:val="393939"/>
          <w:sz w:val="16"/>
          <w:szCs w:val="16"/>
          <w:lang w:val="en-US"/>
        </w:rPr>
      </w:pPr>
      <w:r w:rsidRPr="00A219E6">
        <w:rPr>
          <w:rFonts w:ascii="Arial" w:hAnsi="Arial" w:cs="Arial"/>
          <w:color w:val="393939"/>
          <w:sz w:val="16"/>
          <w:szCs w:val="16"/>
          <w:lang w:val="en-US"/>
        </w:rPr>
        <w:t>(3A) </w:t>
      </w:r>
      <w:r w:rsidRPr="00A219E6">
        <w:rPr>
          <w:rFonts w:ascii="Arial" w:hAnsi="Arial" w:cs="Arial"/>
          <w:b/>
          <w:bCs/>
          <w:color w:val="393939"/>
          <w:sz w:val="16"/>
          <w:szCs w:val="16"/>
          <w:lang w:val="en-US"/>
        </w:rPr>
        <w:t>F2</w:t>
      </w:r>
      <w:r w:rsidRPr="00A219E6">
        <w:rPr>
          <w:rFonts w:ascii="Arial" w:hAnsi="Arial" w:cs="Arial"/>
          <w:color w:val="393939"/>
          <w:sz w:val="16"/>
          <w:szCs w:val="16"/>
          <w:lang w:val="en-US"/>
        </w:rPr>
        <w:t xml:space="preserve">. . . . . . . . . . . . . . . . . . . . . . . . . . . </w:t>
      </w:r>
      <w:proofErr w:type="gramStart"/>
      <w:r w:rsidRPr="00A219E6">
        <w:rPr>
          <w:rFonts w:ascii="Arial" w:hAnsi="Arial" w:cs="Arial"/>
          <w:color w:val="393939"/>
          <w:sz w:val="16"/>
          <w:szCs w:val="16"/>
          <w:lang w:val="en-US"/>
        </w:rPr>
        <w:t>. . . .</w:t>
      </w:r>
      <w:proofErr w:type="gramEnd"/>
      <w:r w:rsidRPr="00A219E6">
        <w:rPr>
          <w:rFonts w:ascii="Arial" w:hAnsi="Arial" w:cs="Arial"/>
          <w:color w:val="393939"/>
          <w:sz w:val="16"/>
          <w:szCs w:val="16"/>
          <w:lang w:val="en-US"/>
        </w:rPr>
        <w:t xml:space="preserve"> .</w:t>
      </w:r>
    </w:p>
    <w:p w:rsidR="00461B90" w:rsidRPr="00A219E6" w:rsidRDefault="00461B90" w:rsidP="00461B90">
      <w:pPr>
        <w:autoSpaceDE w:val="0"/>
        <w:autoSpaceDN w:val="0"/>
        <w:adjustRightInd w:val="0"/>
        <w:ind w:firstLine="240"/>
        <w:jc w:val="both"/>
        <w:rPr>
          <w:rFonts w:ascii="Arial" w:hAnsi="Arial" w:cs="Arial"/>
          <w:color w:val="393939"/>
          <w:sz w:val="16"/>
          <w:szCs w:val="16"/>
          <w:lang w:val="en-US"/>
        </w:rPr>
      </w:pPr>
      <w:r w:rsidRPr="00A219E6">
        <w:rPr>
          <w:rFonts w:ascii="Arial" w:hAnsi="Arial" w:cs="Arial"/>
          <w:color w:val="393939"/>
          <w:sz w:val="16"/>
          <w:szCs w:val="16"/>
          <w:lang w:val="en-US"/>
        </w:rPr>
        <w:t>(4) For the purposes of this Article a hereditament is unoccupied only if no person is in occupation of any part of it.</w:t>
      </w:r>
    </w:p>
    <w:p w:rsidR="00461B90" w:rsidRPr="00A219E6" w:rsidRDefault="00461B90" w:rsidP="00461B90">
      <w:pPr>
        <w:autoSpaceDE w:val="0"/>
        <w:autoSpaceDN w:val="0"/>
        <w:adjustRightInd w:val="0"/>
        <w:ind w:firstLine="240"/>
        <w:jc w:val="both"/>
        <w:rPr>
          <w:rFonts w:ascii="Arial" w:hAnsi="Arial" w:cs="Arial"/>
          <w:color w:val="393939"/>
          <w:sz w:val="16"/>
          <w:szCs w:val="16"/>
          <w:lang w:val="en-US"/>
        </w:rPr>
      </w:pPr>
      <w:r w:rsidRPr="00A219E6">
        <w:rPr>
          <w:rFonts w:ascii="Arial" w:hAnsi="Arial" w:cs="Arial"/>
          <w:color w:val="393939"/>
          <w:sz w:val="16"/>
          <w:szCs w:val="16"/>
          <w:lang w:val="en-US"/>
        </w:rPr>
        <w:t>(5) For the purposes of this Article a hereditament which is not in use shall be treated as unoccupied if (apart from this paragraph) it would be treated as occupied by reason only of there being kept in or on the hereditament plant or machinery—</w:t>
      </w:r>
    </w:p>
    <w:p w:rsidR="00461B90" w:rsidRPr="00A219E6" w:rsidRDefault="00461B90" w:rsidP="00461B90">
      <w:pPr>
        <w:autoSpaceDE w:val="0"/>
        <w:autoSpaceDN w:val="0"/>
        <w:adjustRightInd w:val="0"/>
        <w:jc w:val="right"/>
        <w:rPr>
          <w:rFonts w:ascii="Arial" w:hAnsi="Arial" w:cs="Arial"/>
          <w:color w:val="393939"/>
          <w:sz w:val="16"/>
          <w:szCs w:val="16"/>
          <w:lang w:val="en-US"/>
        </w:rPr>
      </w:pPr>
      <w:r w:rsidRPr="00A219E6">
        <w:rPr>
          <w:rFonts w:ascii="Arial" w:hAnsi="Arial" w:cs="Arial"/>
          <w:color w:val="393939"/>
          <w:sz w:val="16"/>
          <w:szCs w:val="16"/>
          <w:lang w:val="en-US"/>
        </w:rPr>
        <w:t>(a)</w:t>
      </w:r>
    </w:p>
    <w:p w:rsidR="00461B90" w:rsidRPr="00A219E6" w:rsidRDefault="00461B90" w:rsidP="00461B90">
      <w:pPr>
        <w:autoSpaceDE w:val="0"/>
        <w:autoSpaceDN w:val="0"/>
        <w:adjustRightInd w:val="0"/>
        <w:jc w:val="both"/>
        <w:rPr>
          <w:rFonts w:ascii="Arial" w:hAnsi="Arial" w:cs="Arial"/>
          <w:color w:val="393939"/>
          <w:sz w:val="16"/>
          <w:szCs w:val="16"/>
          <w:lang w:val="en-US"/>
        </w:rPr>
      </w:pPr>
      <w:r w:rsidRPr="00A219E6">
        <w:rPr>
          <w:rFonts w:ascii="Arial" w:hAnsi="Arial" w:cs="Arial"/>
          <w:color w:val="393939"/>
          <w:sz w:val="16"/>
          <w:szCs w:val="16"/>
          <w:lang w:val="en-US"/>
        </w:rPr>
        <w:t>which was used in or on the hereditament when it was last in use; or</w:t>
      </w:r>
    </w:p>
    <w:p w:rsidR="00461B90" w:rsidRPr="00A219E6" w:rsidRDefault="00461B90" w:rsidP="00461B90">
      <w:pPr>
        <w:autoSpaceDE w:val="0"/>
        <w:autoSpaceDN w:val="0"/>
        <w:adjustRightInd w:val="0"/>
        <w:jc w:val="right"/>
        <w:rPr>
          <w:rFonts w:ascii="Arial" w:hAnsi="Arial" w:cs="Arial"/>
          <w:color w:val="393939"/>
          <w:sz w:val="16"/>
          <w:szCs w:val="16"/>
          <w:lang w:val="en-US"/>
        </w:rPr>
      </w:pPr>
      <w:r w:rsidRPr="00A219E6">
        <w:rPr>
          <w:rFonts w:ascii="Arial" w:hAnsi="Arial" w:cs="Arial"/>
          <w:color w:val="393939"/>
          <w:sz w:val="16"/>
          <w:szCs w:val="16"/>
          <w:lang w:val="en-US"/>
        </w:rPr>
        <w:t>(b)</w:t>
      </w:r>
    </w:p>
    <w:p w:rsidR="00461B90" w:rsidRPr="00A219E6" w:rsidRDefault="00461B90" w:rsidP="00461B90">
      <w:pPr>
        <w:autoSpaceDE w:val="0"/>
        <w:autoSpaceDN w:val="0"/>
        <w:adjustRightInd w:val="0"/>
        <w:jc w:val="both"/>
        <w:rPr>
          <w:rFonts w:ascii="Arial" w:hAnsi="Arial" w:cs="Arial"/>
          <w:color w:val="393939"/>
          <w:sz w:val="16"/>
          <w:szCs w:val="16"/>
          <w:lang w:val="en-US"/>
        </w:rPr>
      </w:pPr>
      <w:r w:rsidRPr="00A219E6">
        <w:rPr>
          <w:rFonts w:ascii="Arial" w:hAnsi="Arial" w:cs="Arial"/>
          <w:color w:val="393939"/>
          <w:sz w:val="16"/>
          <w:szCs w:val="16"/>
          <w:lang w:val="en-US"/>
        </w:rPr>
        <w:t>which is intended for use in or on the hereditament.</w:t>
      </w:r>
    </w:p>
    <w:p w:rsidR="00461B90" w:rsidRPr="00A219E6" w:rsidRDefault="00461B90" w:rsidP="00461B90">
      <w:pPr>
        <w:autoSpaceDE w:val="0"/>
        <w:autoSpaceDN w:val="0"/>
        <w:adjustRightInd w:val="0"/>
        <w:ind w:firstLine="240"/>
        <w:jc w:val="both"/>
        <w:rPr>
          <w:rFonts w:ascii="Arial" w:hAnsi="Arial" w:cs="Arial"/>
          <w:color w:val="393939"/>
          <w:sz w:val="16"/>
          <w:szCs w:val="16"/>
          <w:lang w:val="en-US"/>
        </w:rPr>
      </w:pPr>
      <w:r w:rsidRPr="00A219E6">
        <w:rPr>
          <w:rFonts w:ascii="Arial" w:hAnsi="Arial" w:cs="Arial"/>
          <w:color w:val="393939"/>
          <w:sz w:val="16"/>
          <w:szCs w:val="16"/>
          <w:lang w:val="en-US"/>
        </w:rPr>
        <w:t>(6) Schedule 8A (which makes further provision relating to the liability to be rated in respect of certain unoccupied hereditaments) shall have effect.</w:t>
      </w:r>
      <w:r w:rsidRPr="00A219E6">
        <w:rPr>
          <w:rFonts w:ascii="Arial" w:hAnsi="Arial" w:cs="Arial"/>
          <w:b/>
          <w:bCs/>
          <w:color w:val="393939"/>
          <w:sz w:val="16"/>
          <w:szCs w:val="16"/>
          <w:lang w:val="en-US"/>
        </w:rPr>
        <w:t>]</w:t>
      </w:r>
    </w:p>
    <w:p w:rsidR="00461B90" w:rsidRPr="00A219E6" w:rsidRDefault="00461B90" w:rsidP="00461B90">
      <w:pPr>
        <w:autoSpaceDE w:val="0"/>
        <w:autoSpaceDN w:val="0"/>
        <w:adjustRightInd w:val="0"/>
        <w:rPr>
          <w:rFonts w:ascii="Arial" w:hAnsi="Arial" w:cs="Arial"/>
          <w:b/>
          <w:bCs/>
          <w:color w:val="3A3B3D"/>
          <w:sz w:val="16"/>
          <w:szCs w:val="16"/>
          <w:lang w:val="en-US"/>
        </w:rPr>
      </w:pPr>
    </w:p>
    <w:p w:rsidR="00461B90" w:rsidRPr="00A219E6" w:rsidRDefault="00461B90" w:rsidP="00461B90">
      <w:pPr>
        <w:autoSpaceDE w:val="0"/>
        <w:autoSpaceDN w:val="0"/>
        <w:adjustRightInd w:val="0"/>
        <w:rPr>
          <w:rFonts w:ascii="Arial" w:hAnsi="Arial" w:cs="Arial"/>
          <w:b/>
          <w:bCs/>
          <w:color w:val="3A3B3D"/>
          <w:sz w:val="16"/>
          <w:szCs w:val="16"/>
          <w:lang w:val="en-US"/>
        </w:rPr>
      </w:pPr>
    </w:p>
    <w:p w:rsidR="00461B90" w:rsidRDefault="00AE0E59" w:rsidP="00461B90">
      <w:pPr>
        <w:autoSpaceDE w:val="0"/>
        <w:autoSpaceDN w:val="0"/>
        <w:adjustRightInd w:val="0"/>
        <w:rPr>
          <w:bCs/>
          <w:color w:val="3A3B3D"/>
          <w:sz w:val="24"/>
          <w:szCs w:val="24"/>
          <w:lang w:val="en-US"/>
        </w:rPr>
      </w:pPr>
      <w:r>
        <w:rPr>
          <w:bCs/>
          <w:color w:val="3A3B3D"/>
          <w:sz w:val="24"/>
          <w:szCs w:val="24"/>
          <w:lang w:val="en-US"/>
        </w:rPr>
        <w:t xml:space="preserve">So to be liable for </w:t>
      </w:r>
      <w:proofErr w:type="gramStart"/>
      <w:r>
        <w:rPr>
          <w:bCs/>
          <w:color w:val="3A3B3D"/>
          <w:sz w:val="24"/>
          <w:szCs w:val="24"/>
          <w:lang w:val="en-US"/>
        </w:rPr>
        <w:t>rates ,</w:t>
      </w:r>
      <w:proofErr w:type="gramEnd"/>
      <w:r>
        <w:rPr>
          <w:bCs/>
          <w:color w:val="3A3B3D"/>
          <w:sz w:val="24"/>
          <w:szCs w:val="24"/>
          <w:lang w:val="en-US"/>
        </w:rPr>
        <w:t xml:space="preserve"> you have to fall within Schedule 8 [which all ordinary persons would do ] and be entitled to possession of the house.</w:t>
      </w:r>
    </w:p>
    <w:p w:rsidR="00AE0E59" w:rsidRDefault="00AE0E59" w:rsidP="00461B90">
      <w:pPr>
        <w:autoSpaceDE w:val="0"/>
        <w:autoSpaceDN w:val="0"/>
        <w:adjustRightInd w:val="0"/>
        <w:rPr>
          <w:bCs/>
          <w:color w:val="3A3B3D"/>
          <w:sz w:val="24"/>
          <w:szCs w:val="24"/>
          <w:lang w:val="en-US"/>
        </w:rPr>
      </w:pPr>
    </w:p>
    <w:p w:rsidR="00AE0E59" w:rsidRDefault="00AE0E59" w:rsidP="00461B90">
      <w:pPr>
        <w:autoSpaceDE w:val="0"/>
        <w:autoSpaceDN w:val="0"/>
        <w:adjustRightInd w:val="0"/>
        <w:rPr>
          <w:bCs/>
          <w:color w:val="3A3B3D"/>
          <w:sz w:val="24"/>
          <w:szCs w:val="24"/>
          <w:lang w:val="en-US"/>
        </w:rPr>
      </w:pPr>
      <w:r>
        <w:rPr>
          <w:bCs/>
          <w:color w:val="3A3B3D"/>
          <w:sz w:val="24"/>
          <w:szCs w:val="24"/>
          <w:lang w:val="en-US"/>
        </w:rPr>
        <w:t xml:space="preserve">It has come to my attention </w:t>
      </w:r>
      <w:proofErr w:type="gramStart"/>
      <w:r>
        <w:rPr>
          <w:bCs/>
          <w:color w:val="3A3B3D"/>
          <w:sz w:val="24"/>
          <w:szCs w:val="24"/>
          <w:lang w:val="en-US"/>
        </w:rPr>
        <w:t>that ,</w:t>
      </w:r>
      <w:proofErr w:type="gramEnd"/>
      <w:r>
        <w:rPr>
          <w:bCs/>
          <w:color w:val="3A3B3D"/>
          <w:sz w:val="24"/>
          <w:szCs w:val="24"/>
          <w:lang w:val="en-US"/>
        </w:rPr>
        <w:t xml:space="preserve"> when a bank or other lender seeks the eviction of the mortgagor they get up to a trick</w:t>
      </w:r>
      <w:r w:rsidR="0063364E">
        <w:rPr>
          <w:bCs/>
          <w:color w:val="3A3B3D"/>
          <w:sz w:val="24"/>
          <w:szCs w:val="24"/>
          <w:lang w:val="en-US"/>
        </w:rPr>
        <w:t xml:space="preserve">, aided and abetted by LPS, </w:t>
      </w:r>
      <w:r>
        <w:rPr>
          <w:bCs/>
          <w:color w:val="3A3B3D"/>
          <w:sz w:val="24"/>
          <w:szCs w:val="24"/>
          <w:lang w:val="en-US"/>
        </w:rPr>
        <w:t xml:space="preserve"> to try to ensure that the home owner pays the rates, even after they have been put out of their home.</w:t>
      </w:r>
    </w:p>
    <w:p w:rsidR="00AE0E59" w:rsidRDefault="00AE0E59" w:rsidP="00461B90">
      <w:pPr>
        <w:autoSpaceDE w:val="0"/>
        <w:autoSpaceDN w:val="0"/>
        <w:adjustRightInd w:val="0"/>
        <w:rPr>
          <w:bCs/>
          <w:color w:val="3A3B3D"/>
          <w:sz w:val="24"/>
          <w:szCs w:val="24"/>
          <w:lang w:val="en-US"/>
        </w:rPr>
      </w:pPr>
    </w:p>
    <w:p w:rsidR="00AE0E59" w:rsidRDefault="00AE0E59" w:rsidP="00461B90">
      <w:pPr>
        <w:autoSpaceDE w:val="0"/>
        <w:autoSpaceDN w:val="0"/>
        <w:adjustRightInd w:val="0"/>
        <w:rPr>
          <w:bCs/>
          <w:color w:val="3A3B3D"/>
          <w:sz w:val="24"/>
          <w:szCs w:val="24"/>
          <w:lang w:val="en-US"/>
        </w:rPr>
      </w:pPr>
      <w:r>
        <w:rPr>
          <w:bCs/>
          <w:color w:val="3A3B3D"/>
          <w:sz w:val="24"/>
          <w:szCs w:val="24"/>
          <w:lang w:val="en-US"/>
        </w:rPr>
        <w:t>The trick works as follows.</w:t>
      </w:r>
    </w:p>
    <w:p w:rsidR="00AE0E59" w:rsidRDefault="00AE0E59" w:rsidP="00461B90">
      <w:pPr>
        <w:autoSpaceDE w:val="0"/>
        <w:autoSpaceDN w:val="0"/>
        <w:adjustRightInd w:val="0"/>
        <w:rPr>
          <w:bCs/>
          <w:color w:val="3A3B3D"/>
          <w:sz w:val="24"/>
          <w:szCs w:val="24"/>
          <w:lang w:val="en-US"/>
        </w:rPr>
      </w:pPr>
      <w:r>
        <w:rPr>
          <w:bCs/>
          <w:color w:val="3A3B3D"/>
          <w:sz w:val="24"/>
          <w:szCs w:val="24"/>
          <w:lang w:val="en-US"/>
        </w:rPr>
        <w:t>There are two remedies usually availabl</w:t>
      </w:r>
      <w:r w:rsidR="0063364E">
        <w:rPr>
          <w:bCs/>
          <w:color w:val="3A3B3D"/>
          <w:sz w:val="24"/>
          <w:szCs w:val="24"/>
          <w:lang w:val="en-US"/>
        </w:rPr>
        <w:t>e to a bank or building society, where the mortgagor has defaulted.</w:t>
      </w:r>
    </w:p>
    <w:p w:rsidR="00AE0E59" w:rsidRDefault="00AE0E59" w:rsidP="00461B90">
      <w:pPr>
        <w:autoSpaceDE w:val="0"/>
        <w:autoSpaceDN w:val="0"/>
        <w:adjustRightInd w:val="0"/>
        <w:rPr>
          <w:bCs/>
          <w:color w:val="3A3B3D"/>
          <w:sz w:val="24"/>
          <w:szCs w:val="24"/>
          <w:lang w:val="en-US"/>
        </w:rPr>
      </w:pPr>
      <w:r>
        <w:rPr>
          <w:bCs/>
          <w:color w:val="3A3B3D"/>
          <w:sz w:val="24"/>
          <w:szCs w:val="24"/>
          <w:lang w:val="en-US"/>
        </w:rPr>
        <w:t xml:space="preserve">The most obvious is to seek an order for possession of a </w:t>
      </w:r>
      <w:proofErr w:type="gramStart"/>
      <w:r>
        <w:rPr>
          <w:bCs/>
          <w:color w:val="3A3B3D"/>
          <w:sz w:val="24"/>
          <w:szCs w:val="24"/>
          <w:lang w:val="en-US"/>
        </w:rPr>
        <w:t>hom</w:t>
      </w:r>
      <w:r w:rsidR="0063364E">
        <w:rPr>
          <w:bCs/>
          <w:color w:val="3A3B3D"/>
          <w:sz w:val="24"/>
          <w:szCs w:val="24"/>
          <w:lang w:val="en-US"/>
        </w:rPr>
        <w:t xml:space="preserve">e </w:t>
      </w:r>
      <w:r>
        <w:rPr>
          <w:bCs/>
          <w:color w:val="3A3B3D"/>
          <w:sz w:val="24"/>
          <w:szCs w:val="24"/>
          <w:lang w:val="en-US"/>
        </w:rPr>
        <w:t>.</w:t>
      </w:r>
      <w:proofErr w:type="gramEnd"/>
      <w:r>
        <w:rPr>
          <w:bCs/>
          <w:color w:val="3A3B3D"/>
          <w:sz w:val="24"/>
          <w:szCs w:val="24"/>
          <w:lang w:val="en-US"/>
        </w:rPr>
        <w:t xml:space="preserve"> This requires the </w:t>
      </w:r>
      <w:r w:rsidR="0063364E">
        <w:rPr>
          <w:bCs/>
          <w:color w:val="3A3B3D"/>
          <w:sz w:val="24"/>
          <w:szCs w:val="24"/>
          <w:lang w:val="en-US"/>
        </w:rPr>
        <w:t>bank to go to court and seek an</w:t>
      </w:r>
      <w:r>
        <w:rPr>
          <w:bCs/>
          <w:color w:val="3A3B3D"/>
          <w:sz w:val="24"/>
          <w:szCs w:val="24"/>
          <w:lang w:val="en-US"/>
        </w:rPr>
        <w:t xml:space="preserve"> Order.</w:t>
      </w:r>
    </w:p>
    <w:p w:rsidR="00AE0E59" w:rsidRDefault="00AE0E59" w:rsidP="00461B90">
      <w:pPr>
        <w:autoSpaceDE w:val="0"/>
        <w:autoSpaceDN w:val="0"/>
        <w:adjustRightInd w:val="0"/>
        <w:rPr>
          <w:bCs/>
          <w:color w:val="3A3B3D"/>
          <w:sz w:val="24"/>
          <w:szCs w:val="24"/>
          <w:lang w:val="en-US"/>
        </w:rPr>
      </w:pPr>
      <w:r>
        <w:rPr>
          <w:bCs/>
          <w:color w:val="3A3B3D"/>
          <w:sz w:val="24"/>
          <w:szCs w:val="24"/>
          <w:lang w:val="en-US"/>
        </w:rPr>
        <w:t xml:space="preserve">The bank then passes the Order to the Enforcement of Judgements Office. It is responsible for the collection of debts adjudged to be due, and for the actual seizing of land and property. Ultimately, the EJO can employ the police to force an eviction or the seizure of goods. The EJO will contact the householder </w:t>
      </w:r>
      <w:proofErr w:type="gramStart"/>
      <w:r>
        <w:rPr>
          <w:bCs/>
          <w:color w:val="3A3B3D"/>
          <w:sz w:val="24"/>
          <w:szCs w:val="24"/>
          <w:lang w:val="en-US"/>
        </w:rPr>
        <w:t>and ,</w:t>
      </w:r>
      <w:proofErr w:type="gramEnd"/>
      <w:r>
        <w:rPr>
          <w:bCs/>
          <w:color w:val="3A3B3D"/>
          <w:sz w:val="24"/>
          <w:szCs w:val="24"/>
          <w:lang w:val="en-US"/>
        </w:rPr>
        <w:t xml:space="preserve"> usually , there is an agreement about handing over the keys.</w:t>
      </w:r>
      <w:r w:rsidR="000E190E">
        <w:rPr>
          <w:bCs/>
          <w:color w:val="3A3B3D"/>
          <w:sz w:val="24"/>
          <w:szCs w:val="24"/>
          <w:lang w:val="en-US"/>
        </w:rPr>
        <w:t xml:space="preserve"> In those circumstances the bank obtains possession.</w:t>
      </w:r>
    </w:p>
    <w:p w:rsidR="000E190E" w:rsidRDefault="000E190E" w:rsidP="00461B90">
      <w:pPr>
        <w:autoSpaceDE w:val="0"/>
        <w:autoSpaceDN w:val="0"/>
        <w:adjustRightInd w:val="0"/>
        <w:rPr>
          <w:bCs/>
          <w:color w:val="3A3B3D"/>
          <w:sz w:val="24"/>
          <w:szCs w:val="24"/>
          <w:lang w:val="en-US"/>
        </w:rPr>
      </w:pPr>
    </w:p>
    <w:p w:rsidR="000E190E" w:rsidRDefault="000E190E" w:rsidP="00461B90">
      <w:pPr>
        <w:autoSpaceDE w:val="0"/>
        <w:autoSpaceDN w:val="0"/>
        <w:adjustRightInd w:val="0"/>
        <w:rPr>
          <w:bCs/>
          <w:color w:val="3A3B3D"/>
          <w:sz w:val="24"/>
          <w:szCs w:val="24"/>
          <w:lang w:val="en-US"/>
        </w:rPr>
      </w:pPr>
      <w:r>
        <w:rPr>
          <w:bCs/>
          <w:color w:val="3A3B3D"/>
          <w:sz w:val="24"/>
          <w:szCs w:val="24"/>
          <w:lang w:val="en-US"/>
        </w:rPr>
        <w:t xml:space="preserve">But, in order to avoid liability for rates, the </w:t>
      </w:r>
      <w:proofErr w:type="gramStart"/>
      <w:r>
        <w:rPr>
          <w:bCs/>
          <w:color w:val="3A3B3D"/>
          <w:sz w:val="24"/>
          <w:szCs w:val="24"/>
          <w:lang w:val="en-US"/>
        </w:rPr>
        <w:t xml:space="preserve">bank </w:t>
      </w:r>
      <w:r w:rsidR="00556671">
        <w:rPr>
          <w:bCs/>
          <w:color w:val="3A3B3D"/>
          <w:sz w:val="24"/>
          <w:szCs w:val="24"/>
          <w:lang w:val="en-US"/>
        </w:rPr>
        <w:t>,</w:t>
      </w:r>
      <w:proofErr w:type="gramEnd"/>
      <w:r w:rsidR="00556671">
        <w:rPr>
          <w:bCs/>
          <w:color w:val="3A3B3D"/>
          <w:sz w:val="24"/>
          <w:szCs w:val="24"/>
          <w:lang w:val="en-US"/>
        </w:rPr>
        <w:t xml:space="preserve"> as well as obtaining an order for possession, </w:t>
      </w:r>
      <w:r>
        <w:rPr>
          <w:bCs/>
          <w:color w:val="3A3B3D"/>
          <w:sz w:val="24"/>
          <w:szCs w:val="24"/>
          <w:lang w:val="en-US"/>
        </w:rPr>
        <w:t xml:space="preserve">uses a little known provision on the mortgage agreement. In circumstances where there has been a default in repayment, the bank can, under the terms of the mortgage, appoint a fixed charge receiver. The receiver, frequently an estate agent, is legally acting not for the bank but for the householder. </w:t>
      </w:r>
      <w:r w:rsidR="00B04FE8">
        <w:rPr>
          <w:bCs/>
          <w:color w:val="3A3B3D"/>
          <w:sz w:val="24"/>
          <w:szCs w:val="24"/>
          <w:lang w:val="en-US"/>
        </w:rPr>
        <w:t xml:space="preserve">The appointment is made by the bank, without the permission of the mortgagor and frequently without the mortgagor’s knowledge. </w:t>
      </w:r>
      <w:r>
        <w:rPr>
          <w:bCs/>
          <w:color w:val="3A3B3D"/>
          <w:sz w:val="24"/>
          <w:szCs w:val="24"/>
          <w:lang w:val="en-US"/>
        </w:rPr>
        <w:t xml:space="preserve">The receiver’s job is to market the house and find a purchaser. All the costs and liabilities of the receiver are to be the responsibility of the householder. But there is a further consequence. The banks assert </w:t>
      </w:r>
      <w:proofErr w:type="gramStart"/>
      <w:r>
        <w:rPr>
          <w:bCs/>
          <w:color w:val="3A3B3D"/>
          <w:sz w:val="24"/>
          <w:szCs w:val="24"/>
          <w:lang w:val="en-US"/>
        </w:rPr>
        <w:t>that ,</w:t>
      </w:r>
      <w:proofErr w:type="gramEnd"/>
      <w:r>
        <w:rPr>
          <w:bCs/>
          <w:color w:val="3A3B3D"/>
          <w:sz w:val="24"/>
          <w:szCs w:val="24"/>
          <w:lang w:val="en-US"/>
        </w:rPr>
        <w:t xml:space="preserve"> </w:t>
      </w:r>
      <w:r>
        <w:rPr>
          <w:bCs/>
          <w:color w:val="3A3B3D"/>
          <w:sz w:val="24"/>
          <w:szCs w:val="24"/>
          <w:lang w:val="en-US"/>
        </w:rPr>
        <w:lastRenderedPageBreak/>
        <w:t xml:space="preserve">because the receiver acts for the householder, that person hasn’t really left the property and must still be liable for the rates. </w:t>
      </w:r>
    </w:p>
    <w:p w:rsidR="000E190E" w:rsidRDefault="000E190E" w:rsidP="00461B90">
      <w:pPr>
        <w:autoSpaceDE w:val="0"/>
        <w:autoSpaceDN w:val="0"/>
        <w:adjustRightInd w:val="0"/>
        <w:rPr>
          <w:bCs/>
          <w:color w:val="3A3B3D"/>
          <w:sz w:val="24"/>
          <w:szCs w:val="24"/>
          <w:lang w:val="en-US"/>
        </w:rPr>
      </w:pPr>
    </w:p>
    <w:p w:rsidR="000E190E" w:rsidRDefault="000E190E" w:rsidP="00461B90">
      <w:pPr>
        <w:autoSpaceDE w:val="0"/>
        <w:autoSpaceDN w:val="0"/>
        <w:adjustRightInd w:val="0"/>
        <w:rPr>
          <w:bCs/>
          <w:color w:val="3A3B3D"/>
          <w:sz w:val="24"/>
          <w:szCs w:val="24"/>
          <w:lang w:val="en-US"/>
        </w:rPr>
      </w:pPr>
      <w:r>
        <w:rPr>
          <w:bCs/>
          <w:color w:val="3A3B3D"/>
          <w:sz w:val="24"/>
          <w:szCs w:val="24"/>
          <w:lang w:val="en-US"/>
        </w:rPr>
        <w:t>How does th</w:t>
      </w:r>
      <w:r w:rsidR="00556671">
        <w:rPr>
          <w:bCs/>
          <w:color w:val="3A3B3D"/>
          <w:sz w:val="24"/>
          <w:szCs w:val="24"/>
          <w:lang w:val="en-US"/>
        </w:rPr>
        <w:t xml:space="preserve">is work in practice? </w:t>
      </w:r>
      <w:r>
        <w:rPr>
          <w:bCs/>
          <w:color w:val="3A3B3D"/>
          <w:sz w:val="24"/>
          <w:szCs w:val="24"/>
          <w:lang w:val="en-US"/>
        </w:rPr>
        <w:t xml:space="preserve">It’s simple. The LPS has a decision to make. To whom does it send the rates bill for a repossessed, empty property? The bank will disclaim liability, citing the fixed charge receiver ploy. Rather than take on the bank, the LPS </w:t>
      </w:r>
      <w:r w:rsidR="003F1201">
        <w:rPr>
          <w:bCs/>
          <w:color w:val="3A3B3D"/>
          <w:sz w:val="24"/>
          <w:szCs w:val="24"/>
          <w:lang w:val="en-US"/>
        </w:rPr>
        <w:t>demands payment from the former owner and, if none is forthcoming, LPS issues proceedings.</w:t>
      </w:r>
    </w:p>
    <w:p w:rsidR="003F1201" w:rsidRDefault="003F1201" w:rsidP="00461B90">
      <w:pPr>
        <w:autoSpaceDE w:val="0"/>
        <w:autoSpaceDN w:val="0"/>
        <w:adjustRightInd w:val="0"/>
        <w:rPr>
          <w:bCs/>
          <w:color w:val="3A3B3D"/>
          <w:sz w:val="24"/>
          <w:szCs w:val="24"/>
          <w:lang w:val="en-US"/>
        </w:rPr>
      </w:pPr>
      <w:r>
        <w:rPr>
          <w:bCs/>
          <w:color w:val="3A3B3D"/>
          <w:sz w:val="24"/>
          <w:szCs w:val="24"/>
          <w:lang w:val="en-US"/>
        </w:rPr>
        <w:t>Anecdotally, I understand that most people pay up.</w:t>
      </w:r>
    </w:p>
    <w:p w:rsidR="003F1201" w:rsidRDefault="003F1201" w:rsidP="00461B90">
      <w:pPr>
        <w:autoSpaceDE w:val="0"/>
        <w:autoSpaceDN w:val="0"/>
        <w:adjustRightInd w:val="0"/>
        <w:rPr>
          <w:bCs/>
          <w:color w:val="3A3B3D"/>
          <w:sz w:val="24"/>
          <w:szCs w:val="24"/>
          <w:lang w:val="en-US"/>
        </w:rPr>
      </w:pPr>
    </w:p>
    <w:p w:rsidR="003F1201" w:rsidRDefault="003F1201" w:rsidP="00461B90">
      <w:pPr>
        <w:autoSpaceDE w:val="0"/>
        <w:autoSpaceDN w:val="0"/>
        <w:adjustRightInd w:val="0"/>
        <w:rPr>
          <w:bCs/>
          <w:color w:val="3A3B3D"/>
          <w:sz w:val="24"/>
          <w:szCs w:val="24"/>
          <w:lang w:val="en-US"/>
        </w:rPr>
      </w:pPr>
      <w:proofErr w:type="gramStart"/>
      <w:r>
        <w:rPr>
          <w:bCs/>
          <w:color w:val="3A3B3D"/>
          <w:sz w:val="24"/>
          <w:szCs w:val="24"/>
          <w:lang w:val="en-US"/>
        </w:rPr>
        <w:t>However ,</w:t>
      </w:r>
      <w:proofErr w:type="gramEnd"/>
      <w:r>
        <w:rPr>
          <w:bCs/>
          <w:color w:val="3A3B3D"/>
          <w:sz w:val="24"/>
          <w:szCs w:val="24"/>
          <w:lang w:val="en-US"/>
        </w:rPr>
        <w:t xml:space="preserve"> recently the LPS has withdrawn </w:t>
      </w:r>
      <w:r w:rsidR="0063364E">
        <w:rPr>
          <w:bCs/>
          <w:color w:val="3A3B3D"/>
          <w:sz w:val="24"/>
          <w:szCs w:val="24"/>
          <w:lang w:val="en-US"/>
        </w:rPr>
        <w:t xml:space="preserve">one </w:t>
      </w:r>
      <w:r>
        <w:rPr>
          <w:bCs/>
          <w:color w:val="3A3B3D"/>
          <w:sz w:val="24"/>
          <w:szCs w:val="24"/>
          <w:lang w:val="en-US"/>
        </w:rPr>
        <w:t xml:space="preserve">such </w:t>
      </w:r>
      <w:r w:rsidR="0063364E">
        <w:rPr>
          <w:bCs/>
          <w:color w:val="3A3B3D"/>
          <w:sz w:val="24"/>
          <w:szCs w:val="24"/>
          <w:lang w:val="en-US"/>
        </w:rPr>
        <w:t xml:space="preserve">set of </w:t>
      </w:r>
      <w:r>
        <w:rPr>
          <w:bCs/>
          <w:color w:val="3A3B3D"/>
          <w:sz w:val="24"/>
          <w:szCs w:val="24"/>
          <w:lang w:val="en-US"/>
        </w:rPr>
        <w:t>proceedings in the face of opposition.</w:t>
      </w:r>
    </w:p>
    <w:p w:rsidR="003F1201" w:rsidRDefault="003F1201" w:rsidP="00461B90">
      <w:pPr>
        <w:autoSpaceDE w:val="0"/>
        <w:autoSpaceDN w:val="0"/>
        <w:adjustRightInd w:val="0"/>
        <w:rPr>
          <w:bCs/>
          <w:color w:val="3A3B3D"/>
          <w:sz w:val="24"/>
          <w:szCs w:val="24"/>
          <w:lang w:val="en-US"/>
        </w:rPr>
      </w:pPr>
    </w:p>
    <w:p w:rsidR="003F1201" w:rsidRDefault="003F1201" w:rsidP="00461B90">
      <w:pPr>
        <w:autoSpaceDE w:val="0"/>
        <w:autoSpaceDN w:val="0"/>
        <w:adjustRightInd w:val="0"/>
        <w:rPr>
          <w:bCs/>
          <w:color w:val="3A3B3D"/>
          <w:sz w:val="24"/>
          <w:szCs w:val="24"/>
          <w:lang w:val="en-US"/>
        </w:rPr>
      </w:pPr>
      <w:r>
        <w:rPr>
          <w:bCs/>
          <w:color w:val="3A3B3D"/>
          <w:sz w:val="24"/>
          <w:szCs w:val="24"/>
          <w:lang w:val="en-US"/>
        </w:rPr>
        <w:t>The simple explanation for the LPS attitude is that it is easier to take on the ordinary citizen than the banks.</w:t>
      </w:r>
    </w:p>
    <w:p w:rsidR="003F1201" w:rsidRDefault="003F1201" w:rsidP="00461B90">
      <w:pPr>
        <w:autoSpaceDE w:val="0"/>
        <w:autoSpaceDN w:val="0"/>
        <w:adjustRightInd w:val="0"/>
        <w:rPr>
          <w:bCs/>
          <w:color w:val="3A3B3D"/>
          <w:sz w:val="24"/>
          <w:szCs w:val="24"/>
          <w:lang w:val="en-US"/>
        </w:rPr>
      </w:pPr>
      <w:r>
        <w:rPr>
          <w:bCs/>
          <w:color w:val="3A3B3D"/>
          <w:sz w:val="24"/>
          <w:szCs w:val="24"/>
          <w:lang w:val="en-US"/>
        </w:rPr>
        <w:t xml:space="preserve">Experience has shown that the LPS takes the word of the bank, that they are not </w:t>
      </w:r>
      <w:proofErr w:type="gramStart"/>
      <w:r>
        <w:rPr>
          <w:bCs/>
          <w:color w:val="3A3B3D"/>
          <w:sz w:val="24"/>
          <w:szCs w:val="24"/>
          <w:lang w:val="en-US"/>
        </w:rPr>
        <w:t>liable ,</w:t>
      </w:r>
      <w:proofErr w:type="gramEnd"/>
      <w:r>
        <w:rPr>
          <w:bCs/>
          <w:color w:val="3A3B3D"/>
          <w:sz w:val="24"/>
          <w:szCs w:val="24"/>
          <w:lang w:val="en-US"/>
        </w:rPr>
        <w:t xml:space="preserve"> because a fixed charge receiver was in place. The bank’s solicitors, ever keen to make a good buck with the </w:t>
      </w:r>
      <w:proofErr w:type="gramStart"/>
      <w:r>
        <w:rPr>
          <w:bCs/>
          <w:color w:val="3A3B3D"/>
          <w:sz w:val="24"/>
          <w:szCs w:val="24"/>
          <w:lang w:val="en-US"/>
        </w:rPr>
        <w:t>client ,</w:t>
      </w:r>
      <w:proofErr w:type="gramEnd"/>
      <w:r>
        <w:rPr>
          <w:bCs/>
          <w:color w:val="3A3B3D"/>
          <w:sz w:val="24"/>
          <w:szCs w:val="24"/>
          <w:lang w:val="en-US"/>
        </w:rPr>
        <w:t xml:space="preserve"> will quote cases from England, relating to receivers being appointed to limited companies. </w:t>
      </w:r>
    </w:p>
    <w:p w:rsidR="003F1201" w:rsidRDefault="003F1201" w:rsidP="00461B90">
      <w:pPr>
        <w:autoSpaceDE w:val="0"/>
        <w:autoSpaceDN w:val="0"/>
        <w:adjustRightInd w:val="0"/>
        <w:rPr>
          <w:bCs/>
          <w:color w:val="3A3B3D"/>
          <w:sz w:val="24"/>
          <w:szCs w:val="24"/>
          <w:lang w:val="en-US"/>
        </w:rPr>
      </w:pPr>
      <w:r>
        <w:rPr>
          <w:bCs/>
          <w:color w:val="3A3B3D"/>
          <w:sz w:val="24"/>
          <w:szCs w:val="24"/>
          <w:lang w:val="en-US"/>
        </w:rPr>
        <w:t>A closer examination of the law in Northern Ireland tells a different tale.</w:t>
      </w:r>
    </w:p>
    <w:p w:rsidR="00022E8E" w:rsidRDefault="00022E8E" w:rsidP="00461B90">
      <w:pPr>
        <w:autoSpaceDE w:val="0"/>
        <w:autoSpaceDN w:val="0"/>
        <w:adjustRightInd w:val="0"/>
        <w:rPr>
          <w:bCs/>
          <w:color w:val="3A3B3D"/>
          <w:sz w:val="24"/>
          <w:szCs w:val="24"/>
          <w:lang w:val="en-US"/>
        </w:rPr>
      </w:pPr>
    </w:p>
    <w:p w:rsidR="00022E8E" w:rsidRPr="00AE0E59" w:rsidRDefault="00022E8E" w:rsidP="00461B90">
      <w:pPr>
        <w:autoSpaceDE w:val="0"/>
        <w:autoSpaceDN w:val="0"/>
        <w:adjustRightInd w:val="0"/>
        <w:rPr>
          <w:color w:val="3A3B3D"/>
          <w:sz w:val="30"/>
          <w:szCs w:val="30"/>
          <w:lang w:val="en-US"/>
        </w:rPr>
      </w:pPr>
      <w:proofErr w:type="gramStart"/>
      <w:r>
        <w:rPr>
          <w:bCs/>
          <w:color w:val="3A3B3D"/>
          <w:sz w:val="24"/>
          <w:szCs w:val="24"/>
          <w:lang w:val="en-US"/>
        </w:rPr>
        <w:t>First ,</w:t>
      </w:r>
      <w:proofErr w:type="gramEnd"/>
      <w:r>
        <w:rPr>
          <w:bCs/>
          <w:color w:val="3A3B3D"/>
          <w:sz w:val="24"/>
          <w:szCs w:val="24"/>
          <w:lang w:val="en-US"/>
        </w:rPr>
        <w:t xml:space="preserve"> regarding receivers, they are appointed under the </w:t>
      </w:r>
      <w:r w:rsidR="00556671">
        <w:rPr>
          <w:bCs/>
          <w:color w:val="3A3B3D"/>
          <w:sz w:val="24"/>
          <w:szCs w:val="24"/>
          <w:lang w:val="en-US"/>
        </w:rPr>
        <w:t xml:space="preserve">provisions of the Conveyancing and Law of Property Act </w:t>
      </w:r>
      <w:r w:rsidR="00B04FE8">
        <w:rPr>
          <w:bCs/>
          <w:color w:val="3A3B3D"/>
          <w:sz w:val="24"/>
          <w:szCs w:val="24"/>
          <w:lang w:val="en-US"/>
        </w:rPr>
        <w:t xml:space="preserve">1881. By Section 24 [8] of the </w:t>
      </w:r>
      <w:proofErr w:type="gramStart"/>
      <w:r w:rsidR="00B04FE8">
        <w:rPr>
          <w:bCs/>
          <w:color w:val="3A3B3D"/>
          <w:sz w:val="24"/>
          <w:szCs w:val="24"/>
          <w:lang w:val="en-US"/>
        </w:rPr>
        <w:t>A</w:t>
      </w:r>
      <w:r w:rsidR="00556671">
        <w:rPr>
          <w:bCs/>
          <w:color w:val="3A3B3D"/>
          <w:sz w:val="24"/>
          <w:szCs w:val="24"/>
          <w:lang w:val="en-US"/>
        </w:rPr>
        <w:t>ct ,</w:t>
      </w:r>
      <w:proofErr w:type="gramEnd"/>
      <w:r w:rsidR="00556671">
        <w:rPr>
          <w:bCs/>
          <w:color w:val="3A3B3D"/>
          <w:sz w:val="24"/>
          <w:szCs w:val="24"/>
          <w:lang w:val="en-US"/>
        </w:rPr>
        <w:t xml:space="preserve"> a receiver must apply any monies received by him , first, in the discharge of all rents, rates and outgoings whatever affecting the mortgaged property. </w:t>
      </w:r>
      <w:proofErr w:type="gramStart"/>
      <w:r w:rsidR="00556671">
        <w:rPr>
          <w:bCs/>
          <w:color w:val="3A3B3D"/>
          <w:sz w:val="24"/>
          <w:szCs w:val="24"/>
          <w:lang w:val="en-US"/>
        </w:rPr>
        <w:t>So</w:t>
      </w:r>
      <w:proofErr w:type="gramEnd"/>
      <w:r w:rsidR="00556671">
        <w:rPr>
          <w:bCs/>
          <w:color w:val="3A3B3D"/>
          <w:sz w:val="24"/>
          <w:szCs w:val="24"/>
          <w:lang w:val="en-US"/>
        </w:rPr>
        <w:t xml:space="preserve"> it is clear that the law envisages that the receiver is liable at first instance for rates, although he is entitled to be indemnified by the bank in the long run. </w:t>
      </w:r>
    </w:p>
    <w:p w:rsidR="00461B90" w:rsidRDefault="00461B90" w:rsidP="00461B90"/>
    <w:p w:rsidR="00556671" w:rsidRDefault="00556671" w:rsidP="00461B90">
      <w:pPr>
        <w:rPr>
          <w:sz w:val="24"/>
          <w:szCs w:val="24"/>
        </w:rPr>
      </w:pPr>
      <w:r>
        <w:rPr>
          <w:sz w:val="24"/>
          <w:szCs w:val="24"/>
        </w:rPr>
        <w:t>Even if there was some substance to the bank’s cunning plan, the Rates Order applies an entirely different test.</w:t>
      </w:r>
    </w:p>
    <w:p w:rsidR="00556671" w:rsidRDefault="00556671" w:rsidP="00461B90">
      <w:pPr>
        <w:rPr>
          <w:sz w:val="24"/>
          <w:szCs w:val="24"/>
        </w:rPr>
      </w:pPr>
    </w:p>
    <w:p w:rsidR="00556671" w:rsidRDefault="00556671" w:rsidP="00461B90">
      <w:pPr>
        <w:rPr>
          <w:sz w:val="24"/>
          <w:szCs w:val="24"/>
        </w:rPr>
      </w:pPr>
      <w:r>
        <w:rPr>
          <w:sz w:val="24"/>
          <w:szCs w:val="24"/>
        </w:rPr>
        <w:t xml:space="preserve">One limb </w:t>
      </w:r>
      <w:proofErr w:type="gramStart"/>
      <w:r>
        <w:rPr>
          <w:sz w:val="24"/>
          <w:szCs w:val="24"/>
        </w:rPr>
        <w:t>of  Article</w:t>
      </w:r>
      <w:proofErr w:type="gramEnd"/>
      <w:r>
        <w:rPr>
          <w:sz w:val="24"/>
          <w:szCs w:val="24"/>
        </w:rPr>
        <w:t xml:space="preserve"> 25A is that , in order to be liable, the person must be entitled to “possession”. If a bank has obtained an order for possession and had that order enforced by the EJO, it is impossible to argue that the householder retains possession. Even more so when the receiver </w:t>
      </w:r>
      <w:proofErr w:type="spellStart"/>
      <w:r>
        <w:rPr>
          <w:sz w:val="24"/>
          <w:szCs w:val="24"/>
        </w:rPr>
        <w:t>Lye</w:t>
      </w:r>
      <w:proofErr w:type="spellEnd"/>
      <w:r>
        <w:rPr>
          <w:sz w:val="24"/>
          <w:szCs w:val="24"/>
        </w:rPr>
        <w:t>, Cheat and Steele, Estate Agen</w:t>
      </w:r>
      <w:r w:rsidR="00CE5DF4">
        <w:rPr>
          <w:sz w:val="24"/>
          <w:szCs w:val="24"/>
        </w:rPr>
        <w:t xml:space="preserve">ts, go </w:t>
      </w:r>
      <w:proofErr w:type="gramStart"/>
      <w:r w:rsidR="00CE5DF4">
        <w:rPr>
          <w:sz w:val="24"/>
          <w:szCs w:val="24"/>
        </w:rPr>
        <w:t>in ,</w:t>
      </w:r>
      <w:proofErr w:type="gramEnd"/>
      <w:r w:rsidR="00CE5DF4">
        <w:rPr>
          <w:sz w:val="24"/>
          <w:szCs w:val="24"/>
        </w:rPr>
        <w:t xml:space="preserve"> change the locks ,</w:t>
      </w:r>
      <w:r>
        <w:rPr>
          <w:sz w:val="24"/>
          <w:szCs w:val="24"/>
        </w:rPr>
        <w:t xml:space="preserve"> put up a </w:t>
      </w:r>
      <w:r w:rsidR="0063364E">
        <w:rPr>
          <w:sz w:val="24"/>
          <w:szCs w:val="24"/>
        </w:rPr>
        <w:t>“</w:t>
      </w:r>
      <w:r>
        <w:rPr>
          <w:sz w:val="24"/>
          <w:szCs w:val="24"/>
        </w:rPr>
        <w:t>for sale</w:t>
      </w:r>
      <w:r w:rsidR="0063364E">
        <w:rPr>
          <w:sz w:val="24"/>
          <w:szCs w:val="24"/>
        </w:rPr>
        <w:t>”</w:t>
      </w:r>
      <w:r>
        <w:rPr>
          <w:sz w:val="24"/>
          <w:szCs w:val="24"/>
        </w:rPr>
        <w:t xml:space="preserve"> sign</w:t>
      </w:r>
      <w:r w:rsidR="00CE5DF4">
        <w:rPr>
          <w:sz w:val="24"/>
          <w:szCs w:val="24"/>
        </w:rPr>
        <w:t xml:space="preserve"> and advertise it online and in their glossy brochure, usually with the words “vacant possession”</w:t>
      </w:r>
      <w:r>
        <w:rPr>
          <w:sz w:val="24"/>
          <w:szCs w:val="24"/>
        </w:rPr>
        <w:t xml:space="preserve">. The former owner is certainly not in possession. He </w:t>
      </w:r>
      <w:proofErr w:type="gramStart"/>
      <w:r>
        <w:rPr>
          <w:sz w:val="24"/>
          <w:szCs w:val="24"/>
        </w:rPr>
        <w:t>may ,</w:t>
      </w:r>
      <w:proofErr w:type="gramEnd"/>
      <w:r>
        <w:rPr>
          <w:sz w:val="24"/>
          <w:szCs w:val="24"/>
        </w:rPr>
        <w:t xml:space="preserve"> under the legal fiction, have LCS Estate agents, acting as his agent in the sale of the property but that’s all.</w:t>
      </w:r>
    </w:p>
    <w:p w:rsidR="00556671" w:rsidRDefault="00556671" w:rsidP="00461B90">
      <w:pPr>
        <w:rPr>
          <w:sz w:val="24"/>
          <w:szCs w:val="24"/>
        </w:rPr>
      </w:pPr>
    </w:p>
    <w:p w:rsidR="00556671" w:rsidRDefault="00556671" w:rsidP="00461B90">
      <w:pPr>
        <w:rPr>
          <w:sz w:val="24"/>
          <w:szCs w:val="24"/>
        </w:rPr>
      </w:pPr>
      <w:r>
        <w:rPr>
          <w:sz w:val="24"/>
          <w:szCs w:val="24"/>
        </w:rPr>
        <w:t xml:space="preserve">The LPS </w:t>
      </w:r>
      <w:r w:rsidR="00CE5DF4">
        <w:rPr>
          <w:sz w:val="24"/>
          <w:szCs w:val="24"/>
        </w:rPr>
        <w:t>have tried to get around this difficulty, by employing different tests, in correspondence with householders. “Owner”, “registered owner</w:t>
      </w:r>
      <w:proofErr w:type="gramStart"/>
      <w:r w:rsidR="00CE5DF4">
        <w:rPr>
          <w:sz w:val="24"/>
          <w:szCs w:val="24"/>
        </w:rPr>
        <w:t>” ,</w:t>
      </w:r>
      <w:proofErr w:type="gramEnd"/>
      <w:r w:rsidR="00CE5DF4">
        <w:rPr>
          <w:sz w:val="24"/>
          <w:szCs w:val="24"/>
        </w:rPr>
        <w:t xml:space="preserve"> denying that the bank ever repossessed the property , even when the householder was evicted, and so on. </w:t>
      </w:r>
    </w:p>
    <w:p w:rsidR="00CE5DF4" w:rsidRDefault="00CE5DF4" w:rsidP="00461B90">
      <w:pPr>
        <w:rPr>
          <w:sz w:val="24"/>
          <w:szCs w:val="24"/>
        </w:rPr>
      </w:pPr>
    </w:p>
    <w:p w:rsidR="00CE5DF4" w:rsidRDefault="00CE5DF4" w:rsidP="00461B90">
      <w:pPr>
        <w:rPr>
          <w:sz w:val="24"/>
          <w:szCs w:val="24"/>
        </w:rPr>
      </w:pPr>
      <w:r>
        <w:rPr>
          <w:sz w:val="24"/>
          <w:szCs w:val="24"/>
        </w:rPr>
        <w:t>The cumulative effect of all this legalese frequently persuades former owners to capitulate and pay up. The winner in all this are the banks.</w:t>
      </w:r>
    </w:p>
    <w:p w:rsidR="00CE5DF4" w:rsidRDefault="00CE5DF4" w:rsidP="00461B90">
      <w:pPr>
        <w:rPr>
          <w:sz w:val="24"/>
          <w:szCs w:val="24"/>
        </w:rPr>
      </w:pPr>
    </w:p>
    <w:p w:rsidR="00CE5DF4" w:rsidRPr="00556671" w:rsidRDefault="00CE5DF4" w:rsidP="00461B90">
      <w:pPr>
        <w:rPr>
          <w:sz w:val="24"/>
          <w:szCs w:val="24"/>
        </w:rPr>
      </w:pPr>
      <w:r>
        <w:rPr>
          <w:sz w:val="24"/>
          <w:szCs w:val="24"/>
        </w:rPr>
        <w:t>So, what should the householder do? Make notes of conversations. Keep all correspondence. Keep your nerve.</w:t>
      </w:r>
      <w:r w:rsidR="0063364E">
        <w:rPr>
          <w:sz w:val="24"/>
          <w:szCs w:val="24"/>
        </w:rPr>
        <w:t xml:space="preserve"> Don’t pay the rates. Quote the legisl</w:t>
      </w:r>
      <w:bookmarkStart w:id="0" w:name="_GoBack"/>
      <w:bookmarkEnd w:id="0"/>
      <w:r w:rsidR="0063364E">
        <w:rPr>
          <w:sz w:val="24"/>
          <w:szCs w:val="24"/>
        </w:rPr>
        <w:t>ation.</w:t>
      </w:r>
    </w:p>
    <w:sectPr w:rsidR="00CE5DF4" w:rsidRPr="00556671" w:rsidSect="008F3E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D5"/>
    <w:rsid w:val="000030AD"/>
    <w:rsid w:val="00022E8E"/>
    <w:rsid w:val="000E190E"/>
    <w:rsid w:val="001B11D5"/>
    <w:rsid w:val="003F1201"/>
    <w:rsid w:val="00461B90"/>
    <w:rsid w:val="00556671"/>
    <w:rsid w:val="005B29DA"/>
    <w:rsid w:val="0063364E"/>
    <w:rsid w:val="006D4BA6"/>
    <w:rsid w:val="008F3E2C"/>
    <w:rsid w:val="009A066F"/>
    <w:rsid w:val="00A219E6"/>
    <w:rsid w:val="00AE0E59"/>
    <w:rsid w:val="00B04FE8"/>
    <w:rsid w:val="00CE5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31E1D2"/>
  <w15:chartTrackingRefBased/>
  <w15:docId w15:val="{6E793AD0-975D-6741-9468-F4CD0F98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F0F0F"/>
        <w:sz w:val="28"/>
        <w:szCs w:val="3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2018-03-22T20:02:00Z</cp:lastPrinted>
  <dcterms:created xsi:type="dcterms:W3CDTF">2018-03-23T18:37:00Z</dcterms:created>
  <dcterms:modified xsi:type="dcterms:W3CDTF">2018-03-23T18:37:00Z</dcterms:modified>
</cp:coreProperties>
</file>